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tcPr>
          <w:p w14:paraId="730FA49D" w14:textId="77777777" w:rsidR="00DE1913" w:rsidRDefault="003B2B73">
            <w:pPr>
              <w:widowControl w:val="0"/>
              <w:spacing w:after="0"/>
              <w:rPr>
                <w:rFonts w:ascii="Work Sans" w:hAnsi="Work Sans"/>
                <w:sz w:val="17"/>
                <w:szCs w:val="17"/>
                <w:lang w:val="pt-BR"/>
              </w:rPr>
            </w:pPr>
            <w:r>
              <w:rPr>
                <w:rFonts w:ascii="Work Sans" w:hAnsi="Work Sans"/>
                <w:sz w:val="17"/>
                <w:szCs w:val="17"/>
                <w:lang w:val="pt-BR"/>
              </w:rPr>
              <w:t>Código validación comunicación: cod_val_rad</w:t>
            </w:r>
          </w:p>
        </w:tc>
        <w:tc>
          <w:tcPr>
            <w:tcW w:w="5451" w:type="dxa"/>
          </w:tcPr>
          <w:p w14:paraId="3A2B2162" w14:textId="77777777" w:rsidR="00DE1913" w:rsidRDefault="003B2B73">
            <w:pPr>
              <w:widowControl w:val="0"/>
              <w:spacing w:after="0"/>
              <w:jc w:val="right"/>
              <w:rPr>
                <w:rFonts w:ascii="Work Sans" w:hAnsi="Work Sans"/>
                <w:sz w:val="17"/>
                <w:szCs w:val="17"/>
                <w:lang w:val="pt-BR"/>
              </w:rPr>
            </w:pPr>
            <w:r>
              <w:rPr>
                <w:rFonts w:ascii="Work Sans" w:hAnsi="Work Sans"/>
                <w:sz w:val="17"/>
                <w:szCs w:val="17"/>
                <w:lang w:val="pt-BR"/>
              </w:rPr>
              <w:t>Código Dependencia: depe_var</w:t>
            </w:r>
          </w:p>
        </w:tc>
      </w:tr>
      <w:tr w:rsidR="00DE1913" w14:paraId="566C62F5" w14:textId="77777777">
        <w:tc>
          <w:tcPr>
            <w:tcW w:w="3915" w:type="dxa"/>
          </w:tcPr>
          <w:p w14:paraId="2ADCC3AD" w14:textId="77777777" w:rsidR="00DE1913" w:rsidRDefault="003B2B73">
            <w:pPr>
              <w:widowControl w:val="0"/>
              <w:spacing w:after="0"/>
              <w:rPr>
                <w:rFonts w:ascii="Work Sans" w:hAnsi="Work Sans"/>
                <w:sz w:val="17"/>
                <w:szCs w:val="17"/>
                <w:lang w:val="pt-BR"/>
              </w:rPr>
            </w:pPr>
            <w:r>
              <w:rPr>
                <w:rFonts w:ascii="Work Sans" w:hAnsi="Work Sans"/>
                <w:sz w:val="17"/>
                <w:szCs w:val="17"/>
                <w:lang w:val="pt-BR"/>
              </w:rPr>
              <w:t>cod_exp</w:t>
            </w:r>
            <w:r>
              <w:rPr>
                <w:rFonts w:ascii="Work Sans" w:hAnsi="Work Sans"/>
                <w:sz w:val="17"/>
                <w:szCs w:val="17"/>
                <w:lang w:val="pt-BR"/>
              </w:rPr>
              <w:br/>
              <w:t>cod_val_exp</w:t>
            </w:r>
          </w:p>
        </w:tc>
        <w:tc>
          <w:tcPr>
            <w:tcW w:w="5451" w:type="dxa"/>
          </w:tcPr>
          <w:p w14:paraId="724B864E" w14:textId="77777777" w:rsidR="00DE1913" w:rsidRDefault="003B2B73">
            <w:pPr>
              <w:widowControl w:val="0"/>
              <w:spacing w:after="0"/>
              <w:jc w:val="right"/>
              <w:rPr>
                <w:rFonts w:ascii="Work Sans" w:hAnsi="Work Sans"/>
                <w:sz w:val="17"/>
                <w:szCs w:val="17"/>
              </w:rPr>
            </w:pPr>
            <w:r>
              <w:rPr>
                <w:rFonts w:ascii="Work Sans" w:eastAsia="Times New Roman" w:hAnsi="Work Sans" w:cs="Times New Roman"/>
                <w:sz w:val="17"/>
                <w:szCs w:val="17"/>
                <w:lang w:val="pt-BR" w:eastAsia="es-ES"/>
              </w:rPr>
              <w:t>Acceso: Reservado (ac_res), Público (ac_pub), Clasificado (ac_cla)</w:t>
            </w:r>
          </w:p>
        </w:tc>
      </w:tr>
    </w:tbl>
    <w:p w14:paraId="171D3E54" w14:textId="77777777" w:rsidR="00DE1913" w:rsidRDefault="00DE1913">
      <w:pPr>
        <w:ind w:right="49"/>
        <w:rPr>
          <w:rFonts w:ascii="Work Sans ExtraLight" w:hAnsi="Work Sans ExtraLight"/>
          <w:sz w:val="16"/>
          <w:lang w:val="pt-BR"/>
        </w:rPr>
      </w:pPr>
    </w:p>
    <w:p w14:paraId="57ECD084" w14:textId="77777777" w:rsidR="00DE1913" w:rsidRDefault="003B2B73">
      <w:pPr>
        <w:spacing w:after="0"/>
        <w:rPr>
          <w:rFonts w:ascii="Work Sans" w:hAnsi="Work Sans"/>
          <w:sz w:val="24"/>
          <w:szCs w:val="24"/>
          <w:lang w:val="pt-BR"/>
        </w:rPr>
      </w:pPr>
      <w:r>
        <w:rPr>
          <w:rFonts w:ascii="Work Sans" w:hAnsi="Work Sans"/>
          <w:sz w:val="24"/>
          <w:szCs w:val="24"/>
          <w:lang w:val="pt-BR"/>
        </w:rPr>
        <w:t>Bogotá, D.C.</w:t>
      </w:r>
    </w:p>
    <w:p w14:paraId="3308340B" w14:textId="77777777" w:rsidR="00DE1913" w:rsidRDefault="00DE1913">
      <w:pPr>
        <w:spacing w:after="0"/>
        <w:rPr>
          <w:rFonts w:ascii="Work Sans" w:hAnsi="Work Sans" w:cs="Arial"/>
          <w:sz w:val="24"/>
          <w:szCs w:val="24"/>
        </w:rPr>
      </w:pPr>
    </w:p>
    <w:p w14:paraId="5CC14689" w14:textId="77777777" w:rsidR="00DE1913" w:rsidRDefault="003B2B73">
      <w:pPr>
        <w:spacing w:after="0"/>
        <w:rPr>
          <w:rFonts w:ascii="Work Sans" w:hAnsi="Work Sans"/>
          <w:sz w:val="24"/>
          <w:szCs w:val="24"/>
        </w:rPr>
      </w:pPr>
      <w:r>
        <w:rPr>
          <w:rFonts w:ascii="Work Sans" w:hAnsi="Work Sans"/>
          <w:sz w:val="24"/>
          <w:szCs w:val="24"/>
        </w:rPr>
        <w:t>encabezado</w:t>
      </w:r>
    </w:p>
    <w:p w14:paraId="7DBBECFA" w14:textId="77777777" w:rsidR="00DE1913" w:rsidRDefault="003B2B73">
      <w:pPr>
        <w:spacing w:after="0"/>
        <w:rPr>
          <w:rFonts w:ascii="Work Sans" w:hAnsi="Work Sans"/>
          <w:sz w:val="24"/>
          <w:szCs w:val="24"/>
          <w:lang w:val="es-ES"/>
        </w:rPr>
      </w:pPr>
      <w:proofErr w:type="spellStart"/>
      <w:r>
        <w:rPr>
          <w:rFonts w:ascii="Work Sans" w:hAnsi="Work Sans" w:cs="Arial"/>
          <w:b/>
          <w:bCs/>
          <w:sz w:val="24"/>
          <w:szCs w:val="24"/>
        </w:rPr>
        <w:t>nombredestinatario</w:t>
      </w:r>
      <w:proofErr w:type="spellEnd"/>
      <w:r>
        <w:rPr>
          <w:rFonts w:ascii="Work Sans" w:hAnsi="Work Sans"/>
          <w:sz w:val="24"/>
          <w:szCs w:val="24"/>
        </w:rPr>
        <w:br/>
      </w:r>
      <w:proofErr w:type="spellStart"/>
      <w:r>
        <w:rPr>
          <w:rFonts w:ascii="Work Sans" w:hAnsi="Work Sans"/>
          <w:sz w:val="24"/>
          <w:szCs w:val="24"/>
        </w:rPr>
        <w:t>dir_r</w:t>
      </w:r>
      <w:proofErr w:type="spellEnd"/>
      <w:r>
        <w:rPr>
          <w:rFonts w:ascii="Work Sans" w:hAnsi="Work Sans"/>
          <w:sz w:val="24"/>
          <w:szCs w:val="24"/>
        </w:rPr>
        <w:br/>
      </w:r>
      <w:proofErr w:type="spellStart"/>
      <w:r>
        <w:rPr>
          <w:rFonts w:ascii="Work Sans" w:hAnsi="Work Sans"/>
          <w:sz w:val="24"/>
          <w:szCs w:val="24"/>
          <w:lang w:val="es-ES"/>
        </w:rPr>
        <w:t>muni_r</w:t>
      </w:r>
      <w:proofErr w:type="spellEnd"/>
      <w:r>
        <w:rPr>
          <w:rFonts w:ascii="Work Sans" w:hAnsi="Work Sans"/>
          <w:sz w:val="24"/>
          <w:szCs w:val="24"/>
          <w:lang w:val="es-ES"/>
        </w:rPr>
        <w:t xml:space="preserve"> </w:t>
      </w:r>
      <w:proofErr w:type="spellStart"/>
      <w:r>
        <w:rPr>
          <w:rFonts w:ascii="Work Sans" w:hAnsi="Work Sans"/>
          <w:sz w:val="24"/>
          <w:szCs w:val="24"/>
          <w:lang w:val="es-ES"/>
        </w:rPr>
        <w:t>depto_r</w:t>
      </w:r>
      <w:proofErr w:type="spellEnd"/>
    </w:p>
    <w:p w14:paraId="2D7F32A6" w14:textId="77777777" w:rsidR="00DE1913" w:rsidRDefault="00DE1913">
      <w:pPr>
        <w:pStyle w:val="Textoindependiente"/>
        <w:ind w:right="40"/>
        <w:rPr>
          <w:rFonts w:ascii="Work Sans" w:hAnsi="Work Sans"/>
          <w:szCs w:val="24"/>
        </w:rPr>
      </w:pPr>
    </w:p>
    <w:p w14:paraId="03C6DFA7" w14:textId="77777777" w:rsidR="00DE1913" w:rsidRDefault="003B2B73" w:rsidP="00FA439A">
      <w:pPr>
        <w:pStyle w:val="Textoindependiente"/>
        <w:ind w:left="993" w:right="40" w:hanging="993"/>
        <w:jc w:val="left"/>
        <w:rPr>
          <w:rFonts w:ascii="Work Sans" w:hAnsi="Work Sans"/>
          <w:szCs w:val="24"/>
        </w:rPr>
      </w:pPr>
      <w:r>
        <w:rPr>
          <w:rFonts w:ascii="Work Sans" w:hAnsi="Work Sans"/>
          <w:szCs w:val="24"/>
        </w:rPr>
        <w:t xml:space="preserve">Asunto: </w:t>
      </w:r>
      <w:r>
        <w:rPr>
          <w:rFonts w:ascii="Work Sans" w:hAnsi="Work Sans"/>
          <w:szCs w:val="24"/>
        </w:rPr>
        <w:tab/>
      </w:r>
      <w:proofErr w:type="spellStart"/>
      <w:r>
        <w:rPr>
          <w:rFonts w:ascii="Work Sans" w:hAnsi="Work Sans"/>
          <w:szCs w:val="24"/>
        </w:rPr>
        <w:t>r_asunto</w:t>
      </w:r>
      <w:proofErr w:type="spellEnd"/>
    </w:p>
    <w:p w14:paraId="7F7EB8DF" w14:textId="77777777" w:rsidR="00DE1913" w:rsidRDefault="00DE1913">
      <w:pPr>
        <w:pStyle w:val="Textoindependiente"/>
        <w:ind w:right="40"/>
        <w:rPr>
          <w:rFonts w:ascii="Work Sans" w:hAnsi="Work Sans"/>
          <w:szCs w:val="24"/>
        </w:rPr>
      </w:pPr>
    </w:p>
    <w:p w14:paraId="1077BB7D" w14:textId="2E7BE241" w:rsidR="005969C2" w:rsidRPr="00320B91" w:rsidRDefault="005969C2" w:rsidP="00E406F8">
      <w:pPr>
        <w:spacing w:line="240" w:lineRule="auto"/>
        <w:jc w:val="both"/>
        <w:rPr>
          <w:rFonts w:ascii="Work Sans" w:eastAsia="Work Sans" w:hAnsi="Work Sans" w:cs="Work Sans"/>
          <w:sz w:val="24"/>
          <w:szCs w:val="24"/>
        </w:rPr>
      </w:pPr>
      <w:r w:rsidRPr="00320B91">
        <w:rPr>
          <w:rFonts w:ascii="Work Sans" w:eastAsia="Work Sans" w:hAnsi="Work Sans" w:cs="Work Sans"/>
          <w:sz w:val="24"/>
          <w:szCs w:val="24"/>
        </w:rPr>
        <w:t>Estimad</w:t>
      </w:r>
      <w:r w:rsidR="00B96A8F">
        <w:rPr>
          <w:rFonts w:ascii="Work Sans" w:eastAsia="Work Sans" w:hAnsi="Work Sans" w:cs="Work Sans"/>
          <w:sz w:val="24"/>
          <w:szCs w:val="24"/>
        </w:rPr>
        <w:t>o Director.</w:t>
      </w:r>
    </w:p>
    <w:p w14:paraId="5C605771" w14:textId="77777777" w:rsidR="005969C2" w:rsidRPr="00320B91" w:rsidRDefault="005969C2" w:rsidP="002A2C00">
      <w:pPr>
        <w:spacing w:line="240" w:lineRule="auto"/>
        <w:jc w:val="both"/>
        <w:rPr>
          <w:rFonts w:ascii="Work Sans" w:eastAsia="Work Sans" w:hAnsi="Work Sans" w:cs="Work Sans"/>
          <w:sz w:val="24"/>
          <w:szCs w:val="24"/>
        </w:rPr>
      </w:pPr>
      <w:r w:rsidRPr="00320B91">
        <w:rPr>
          <w:rFonts w:ascii="Work Sans" w:eastAsia="Work Sans" w:hAnsi="Work Sans" w:cs="Work Sans"/>
          <w:sz w:val="24"/>
          <w:szCs w:val="24"/>
        </w:rPr>
        <w:t>Reciba un cordial saludo.</w:t>
      </w:r>
    </w:p>
    <w:p w14:paraId="17AC3E5F" w14:textId="2C1DC058" w:rsidR="00157659" w:rsidRPr="00157659" w:rsidRDefault="00157659" w:rsidP="00157659">
      <w:pPr>
        <w:spacing w:line="240" w:lineRule="auto"/>
        <w:jc w:val="both"/>
        <w:rPr>
          <w:rFonts w:ascii="Work Sans" w:eastAsia="Calibri" w:hAnsi="Work Sans" w:cs="Arial"/>
          <w:sz w:val="24"/>
          <w:szCs w:val="24"/>
        </w:rPr>
      </w:pPr>
      <w:r w:rsidRPr="00157659">
        <w:rPr>
          <w:rFonts w:ascii="Work Sans" w:eastAsia="Calibri" w:hAnsi="Work Sans" w:cs="Arial"/>
          <w:sz w:val="24"/>
          <w:szCs w:val="24"/>
        </w:rPr>
        <w:t xml:space="preserve">En atención al Radicado </w:t>
      </w:r>
      <w:r>
        <w:rPr>
          <w:rFonts w:ascii="Work Sans" w:eastAsia="Calibri" w:hAnsi="Work Sans" w:cs="Arial"/>
          <w:sz w:val="24"/>
          <w:szCs w:val="24"/>
        </w:rPr>
        <w:t xml:space="preserve">IPSE </w:t>
      </w:r>
      <w:r w:rsidRPr="00157659">
        <w:rPr>
          <w:rFonts w:ascii="Work Sans" w:eastAsia="Calibri" w:hAnsi="Work Sans" w:cs="Arial"/>
          <w:sz w:val="24"/>
          <w:szCs w:val="24"/>
        </w:rPr>
        <w:t>No. 202514100019051 mediante el cual el Instituto de Planificación y Promoción de Soluciones Energéticas para las Zonas No Interconectadas – IPSE remite dos (02) proyectos estructurados por parte de la Subdirección de Planificación y Promoción de Soluciones Energéticas, este Ministerio se permite realizar las siguientes consideraciones jurídicas, técnicas y metodológicas</w:t>
      </w:r>
      <w:r>
        <w:rPr>
          <w:rFonts w:ascii="Work Sans" w:eastAsia="Calibri" w:hAnsi="Work Sans" w:cs="Arial"/>
          <w:sz w:val="24"/>
          <w:szCs w:val="24"/>
        </w:rPr>
        <w:t>, así</w:t>
      </w:r>
      <w:r w:rsidRPr="00157659">
        <w:rPr>
          <w:rFonts w:ascii="Work Sans" w:eastAsia="Calibri" w:hAnsi="Work Sans" w:cs="Arial"/>
          <w:sz w:val="24"/>
          <w:szCs w:val="24"/>
        </w:rPr>
        <w:t>:</w:t>
      </w:r>
    </w:p>
    <w:p w14:paraId="45E173F7" w14:textId="75BFDFC8" w:rsidR="00157659" w:rsidRPr="00157659" w:rsidRDefault="00157659" w:rsidP="00157659">
      <w:pPr>
        <w:spacing w:line="240" w:lineRule="auto"/>
        <w:jc w:val="both"/>
        <w:rPr>
          <w:rFonts w:ascii="Work Sans" w:eastAsia="Calibri" w:hAnsi="Work Sans" w:cs="Arial"/>
          <w:sz w:val="24"/>
          <w:szCs w:val="24"/>
        </w:rPr>
      </w:pPr>
      <w:r w:rsidRPr="00157659">
        <w:rPr>
          <w:rFonts w:ascii="Work Sans" w:eastAsia="Calibri" w:hAnsi="Work Sans" w:cs="Arial"/>
          <w:sz w:val="24"/>
          <w:szCs w:val="24"/>
        </w:rPr>
        <w:t>En primer lugar, es pertinente señalar que la Estrategia de Comunidades Energéticas se encuentra reglamentada mediante el Decreto 2236 de 2023</w:t>
      </w:r>
      <w:r w:rsidR="00212346">
        <w:rPr>
          <w:rStyle w:val="Refdenotaalpie"/>
          <w:rFonts w:ascii="Work Sans" w:eastAsia="Calibri" w:hAnsi="Work Sans" w:cs="Arial"/>
          <w:sz w:val="24"/>
          <w:szCs w:val="24"/>
        </w:rPr>
        <w:footnoteReference w:id="1"/>
      </w:r>
      <w:r w:rsidRPr="00157659">
        <w:rPr>
          <w:rFonts w:ascii="Work Sans" w:eastAsia="Calibri" w:hAnsi="Work Sans" w:cs="Arial"/>
          <w:sz w:val="24"/>
          <w:szCs w:val="24"/>
        </w:rPr>
        <w:t xml:space="preserve"> y desarrollada a través de la Resolución 40509 de 2024</w:t>
      </w:r>
      <w:r w:rsidR="00B53787">
        <w:rPr>
          <w:rStyle w:val="Refdenotaalpie"/>
          <w:rFonts w:ascii="Work Sans" w:eastAsia="Calibri" w:hAnsi="Work Sans" w:cs="Arial"/>
          <w:sz w:val="24"/>
          <w:szCs w:val="24"/>
        </w:rPr>
        <w:footnoteReference w:id="2"/>
      </w:r>
      <w:r w:rsidRPr="00157659">
        <w:rPr>
          <w:rFonts w:ascii="Work Sans" w:eastAsia="Calibri" w:hAnsi="Work Sans" w:cs="Arial"/>
          <w:sz w:val="24"/>
          <w:szCs w:val="24"/>
        </w:rPr>
        <w:t xml:space="preserve">, disposiciones normativas que establecen los lineamientos generales para la implementación de esquemas asociativos de generación, autogeneración, generación distribuida, eficiencia </w:t>
      </w:r>
      <w:r w:rsidRPr="00157659">
        <w:rPr>
          <w:rFonts w:ascii="Work Sans" w:eastAsia="Calibri" w:hAnsi="Work Sans" w:cs="Arial"/>
          <w:sz w:val="24"/>
          <w:szCs w:val="24"/>
        </w:rPr>
        <w:lastRenderedPageBreak/>
        <w:t>energética y gestión comunitaria de la energía, bajo criterios de focalización, priorización y registro.</w:t>
      </w:r>
    </w:p>
    <w:p w14:paraId="752AA012" w14:textId="77777777" w:rsidR="00157659" w:rsidRPr="00157659" w:rsidRDefault="00157659" w:rsidP="00157659">
      <w:pPr>
        <w:spacing w:line="240" w:lineRule="auto"/>
        <w:jc w:val="both"/>
        <w:rPr>
          <w:rFonts w:ascii="Work Sans" w:eastAsia="Calibri" w:hAnsi="Work Sans" w:cs="Arial"/>
          <w:sz w:val="24"/>
          <w:szCs w:val="24"/>
        </w:rPr>
      </w:pPr>
      <w:r w:rsidRPr="00157659">
        <w:rPr>
          <w:rFonts w:ascii="Work Sans" w:eastAsia="Calibri" w:hAnsi="Work Sans" w:cs="Arial"/>
          <w:sz w:val="24"/>
          <w:szCs w:val="24"/>
        </w:rPr>
        <w:t xml:space="preserve">No obstante, dichas disposiciones no constituyen un mecanismo autónomo de financiación ni modifican las competencias institucionales previamente asignadas a las entidades del sector minero energético en materia de estructuración, </w:t>
      </w:r>
      <w:proofErr w:type="spellStart"/>
      <w:r w:rsidRPr="00157659">
        <w:rPr>
          <w:rFonts w:ascii="Work Sans" w:eastAsia="Calibri" w:hAnsi="Work Sans" w:cs="Arial"/>
          <w:sz w:val="24"/>
          <w:szCs w:val="24"/>
        </w:rPr>
        <w:t>viabilización</w:t>
      </w:r>
      <w:proofErr w:type="spellEnd"/>
      <w:r w:rsidRPr="00157659">
        <w:rPr>
          <w:rFonts w:ascii="Work Sans" w:eastAsia="Calibri" w:hAnsi="Work Sans" w:cs="Arial"/>
          <w:sz w:val="24"/>
          <w:szCs w:val="24"/>
        </w:rPr>
        <w:t>, ejecución y gestión de recursos para proyectos de energización, especialmente en Zonas No Interconectadas – ZNI y zonas rurales.</w:t>
      </w:r>
    </w:p>
    <w:p w14:paraId="7F4BCE78" w14:textId="77777777" w:rsidR="00157659" w:rsidRPr="00157659" w:rsidRDefault="00157659" w:rsidP="00157659">
      <w:pPr>
        <w:spacing w:line="240" w:lineRule="auto"/>
        <w:jc w:val="both"/>
        <w:rPr>
          <w:rFonts w:ascii="Work Sans" w:eastAsia="Calibri" w:hAnsi="Work Sans" w:cs="Arial"/>
          <w:sz w:val="24"/>
          <w:szCs w:val="24"/>
        </w:rPr>
      </w:pPr>
      <w:r w:rsidRPr="00157659">
        <w:rPr>
          <w:rFonts w:ascii="Work Sans" w:eastAsia="Calibri" w:hAnsi="Work Sans" w:cs="Arial"/>
          <w:sz w:val="24"/>
          <w:szCs w:val="24"/>
        </w:rPr>
        <w:t>En ese sentido, el numeral 14 del artículo 16 del Decreto 381 de 2012 establece como función de la Dirección de Energía del Ministerio de Minas y Energía:</w:t>
      </w:r>
    </w:p>
    <w:p w14:paraId="1A3CBC38" w14:textId="7753E5A2" w:rsidR="00157659" w:rsidRPr="00157659" w:rsidRDefault="00157659" w:rsidP="00157659">
      <w:pPr>
        <w:spacing w:line="240" w:lineRule="auto"/>
        <w:ind w:left="708"/>
        <w:jc w:val="both"/>
        <w:rPr>
          <w:rFonts w:ascii="Work Sans" w:eastAsia="Calibri" w:hAnsi="Work Sans" w:cs="Arial"/>
          <w:i/>
          <w:iCs/>
          <w:sz w:val="24"/>
          <w:szCs w:val="24"/>
        </w:rPr>
      </w:pPr>
      <w:r w:rsidRPr="00157659">
        <w:rPr>
          <w:rFonts w:ascii="Work Sans" w:eastAsia="Calibri" w:hAnsi="Work Sans" w:cs="Arial"/>
          <w:i/>
          <w:iCs/>
          <w:sz w:val="24"/>
          <w:szCs w:val="24"/>
        </w:rPr>
        <w:t>“Gestionar la asignación de recursos presupuestales a proyectos de infraestructura eléctrica, preparar las fichas de los proyectos, elaborar, hacer seguimiento, proyectar la liquidación y preparar los giros de los convenios de proyectos de infraestructura eléctrica”</w:t>
      </w:r>
      <w:r>
        <w:rPr>
          <w:rStyle w:val="Refdenotaalpie"/>
          <w:rFonts w:ascii="Work Sans" w:eastAsia="Calibri" w:hAnsi="Work Sans" w:cs="Arial"/>
          <w:i/>
          <w:iCs/>
          <w:sz w:val="24"/>
          <w:szCs w:val="24"/>
        </w:rPr>
        <w:footnoteReference w:id="3"/>
      </w:r>
      <w:r w:rsidRPr="00157659">
        <w:rPr>
          <w:rFonts w:ascii="Work Sans" w:eastAsia="Calibri" w:hAnsi="Work Sans" w:cs="Arial"/>
          <w:i/>
          <w:iCs/>
          <w:sz w:val="24"/>
          <w:szCs w:val="24"/>
        </w:rPr>
        <w:t>.</w:t>
      </w:r>
    </w:p>
    <w:p w14:paraId="270D761B" w14:textId="77777777" w:rsidR="00157659" w:rsidRPr="00157659" w:rsidRDefault="00157659" w:rsidP="00157659">
      <w:pPr>
        <w:spacing w:line="240" w:lineRule="auto"/>
        <w:jc w:val="both"/>
        <w:rPr>
          <w:rFonts w:ascii="Work Sans" w:eastAsia="Calibri" w:hAnsi="Work Sans" w:cs="Arial"/>
          <w:sz w:val="24"/>
          <w:szCs w:val="24"/>
        </w:rPr>
      </w:pPr>
      <w:r w:rsidRPr="00157659">
        <w:rPr>
          <w:rFonts w:ascii="Work Sans" w:eastAsia="Calibri" w:hAnsi="Work Sans" w:cs="Arial"/>
          <w:sz w:val="24"/>
          <w:szCs w:val="24"/>
        </w:rPr>
        <w:t>Sin perjuicio de lo anterior, la competencia funcional y operativa asociada a la identificación de necesidades, estructuración técnica, promoción, formulación y ejecución de soluciones energéticas en territorio corresponde de manera principal al IPSE, en virtud de su naturaleza técnica y misional como entidad especializada en la planificación y promoción de soluciones energéticas para las Zonas No Interconectadas, así como en el marco de las políticas de Transición Energética Justa impulsadas por el Gobierno Nacional.</w:t>
      </w:r>
    </w:p>
    <w:p w14:paraId="4A78A168" w14:textId="0699137C" w:rsidR="00157659" w:rsidRPr="00157659" w:rsidRDefault="00157659" w:rsidP="00157659">
      <w:pPr>
        <w:spacing w:line="240" w:lineRule="auto"/>
        <w:jc w:val="both"/>
        <w:rPr>
          <w:rFonts w:ascii="Work Sans" w:eastAsia="Calibri" w:hAnsi="Work Sans" w:cs="Arial"/>
          <w:sz w:val="24"/>
          <w:szCs w:val="24"/>
        </w:rPr>
      </w:pPr>
      <w:r w:rsidRPr="00157659">
        <w:rPr>
          <w:rFonts w:ascii="Work Sans" w:eastAsia="Calibri" w:hAnsi="Work Sans" w:cs="Arial"/>
          <w:sz w:val="24"/>
          <w:szCs w:val="24"/>
        </w:rPr>
        <w:t>En consecuencia, el IPSE, en su calidad de primer respondiente institucional en los procesos de energización rural y comunitaria, es la entidad llamada a liderar integralmente el proceso de formulación, estructuración, validación territorial, articulación comunitaria y ejecución de los proyectos, garantizando que los mismos cumplan con los lineamientos técnicos, regulatorios, sociales y ambientales aplicables.</w:t>
      </w:r>
    </w:p>
    <w:p w14:paraId="10D4E415" w14:textId="77777777" w:rsidR="00157659" w:rsidRPr="00157659" w:rsidRDefault="00157659" w:rsidP="00157659">
      <w:pPr>
        <w:spacing w:line="240" w:lineRule="auto"/>
        <w:jc w:val="both"/>
        <w:rPr>
          <w:rFonts w:ascii="Work Sans" w:eastAsia="Calibri" w:hAnsi="Work Sans" w:cs="Arial"/>
          <w:sz w:val="24"/>
          <w:szCs w:val="24"/>
        </w:rPr>
      </w:pPr>
      <w:r w:rsidRPr="00157659">
        <w:rPr>
          <w:rFonts w:ascii="Work Sans" w:eastAsia="Calibri" w:hAnsi="Work Sans" w:cs="Arial"/>
          <w:sz w:val="24"/>
          <w:szCs w:val="24"/>
        </w:rPr>
        <w:t>Ahora bien, cuando para la materialización de los proyectos se requiera la concurrencia de recursos públicos de financiación o cofinanciación, deberán activarse las rutas procedimentales y los mecanismos reglados definidos en el ordenamiento jurídico vigente, particularmente aquellos previstos en:</w:t>
      </w:r>
    </w:p>
    <w:p w14:paraId="523EB02D" w14:textId="3A79EE35" w:rsidR="00157659" w:rsidRPr="00157659" w:rsidRDefault="00157659" w:rsidP="00157659">
      <w:pPr>
        <w:numPr>
          <w:ilvl w:val="0"/>
          <w:numId w:val="19"/>
        </w:numPr>
        <w:spacing w:line="240" w:lineRule="auto"/>
        <w:jc w:val="both"/>
        <w:rPr>
          <w:rFonts w:ascii="Work Sans" w:eastAsia="Calibri" w:hAnsi="Work Sans" w:cs="Arial"/>
          <w:sz w:val="24"/>
          <w:szCs w:val="24"/>
        </w:rPr>
      </w:pPr>
      <w:r w:rsidRPr="00157659">
        <w:rPr>
          <w:rFonts w:ascii="Work Sans" w:eastAsia="Calibri" w:hAnsi="Work Sans" w:cs="Arial"/>
          <w:sz w:val="24"/>
          <w:szCs w:val="24"/>
        </w:rPr>
        <w:lastRenderedPageBreak/>
        <w:t>la Resolución 40378 de 2023</w:t>
      </w:r>
      <w:r w:rsidR="005F14A9">
        <w:rPr>
          <w:rStyle w:val="Refdenotaalpie"/>
          <w:rFonts w:ascii="Work Sans" w:eastAsia="Calibri" w:hAnsi="Work Sans" w:cs="Arial"/>
          <w:sz w:val="24"/>
          <w:szCs w:val="24"/>
        </w:rPr>
        <w:footnoteReference w:id="4"/>
      </w:r>
      <w:r w:rsidRPr="00157659">
        <w:rPr>
          <w:rFonts w:ascii="Work Sans" w:eastAsia="Calibri" w:hAnsi="Work Sans" w:cs="Arial"/>
          <w:sz w:val="24"/>
          <w:szCs w:val="24"/>
        </w:rPr>
        <w:t xml:space="preserve">, mediante la cual se reglamenta el procedimiento de presentación, evaluación y financiación de proyectos con cargo al Fondo de Apoyo Financiero para la Energización de las Zonas No Interconectadas – FAZNI; y </w:t>
      </w:r>
    </w:p>
    <w:p w14:paraId="49F9912E" w14:textId="7A357BE0" w:rsidR="00157659" w:rsidRPr="00157659" w:rsidRDefault="00157659" w:rsidP="00157659">
      <w:pPr>
        <w:numPr>
          <w:ilvl w:val="0"/>
          <w:numId w:val="19"/>
        </w:numPr>
        <w:spacing w:line="240" w:lineRule="auto"/>
        <w:jc w:val="both"/>
        <w:rPr>
          <w:rFonts w:ascii="Work Sans" w:eastAsia="Calibri" w:hAnsi="Work Sans" w:cs="Arial"/>
          <w:sz w:val="24"/>
          <w:szCs w:val="24"/>
        </w:rPr>
      </w:pPr>
      <w:r w:rsidRPr="00157659">
        <w:rPr>
          <w:rFonts w:ascii="Work Sans" w:eastAsia="Calibri" w:hAnsi="Work Sans" w:cs="Arial"/>
          <w:sz w:val="24"/>
          <w:szCs w:val="24"/>
        </w:rPr>
        <w:t>la Resolución 40379 de 2023</w:t>
      </w:r>
      <w:r w:rsidR="005F14A9">
        <w:rPr>
          <w:rStyle w:val="Refdenotaalpie"/>
          <w:rFonts w:ascii="Work Sans" w:eastAsia="Calibri" w:hAnsi="Work Sans" w:cs="Arial"/>
          <w:sz w:val="24"/>
          <w:szCs w:val="24"/>
        </w:rPr>
        <w:footnoteReference w:id="5"/>
      </w:r>
      <w:r w:rsidRPr="00157659">
        <w:rPr>
          <w:rFonts w:ascii="Work Sans" w:eastAsia="Calibri" w:hAnsi="Work Sans" w:cs="Arial"/>
          <w:sz w:val="24"/>
          <w:szCs w:val="24"/>
        </w:rPr>
        <w:t xml:space="preserve">, relacionada con el procedimiento aplicable al Fondo de Apoyo Financiero para la Energización de las Zonas Rurales Interconectadas – FAER. </w:t>
      </w:r>
    </w:p>
    <w:p w14:paraId="06435B98" w14:textId="77777777" w:rsidR="00157659" w:rsidRPr="00157659" w:rsidRDefault="00157659" w:rsidP="00157659">
      <w:pPr>
        <w:spacing w:line="240" w:lineRule="auto"/>
        <w:jc w:val="both"/>
        <w:rPr>
          <w:rFonts w:ascii="Work Sans" w:eastAsia="Calibri" w:hAnsi="Work Sans" w:cs="Arial"/>
          <w:sz w:val="24"/>
          <w:szCs w:val="24"/>
        </w:rPr>
      </w:pPr>
      <w:r w:rsidRPr="00157659">
        <w:rPr>
          <w:rFonts w:ascii="Work Sans" w:eastAsia="Calibri" w:hAnsi="Work Sans" w:cs="Arial"/>
          <w:sz w:val="24"/>
          <w:szCs w:val="24"/>
        </w:rPr>
        <w:t>Lo anterior, en razón a que los mecanismos de financiación pública del sector cuentan con procedimientos específicos, etapas de evaluación, requisitos de elegibilidad, criterios de priorización, esquemas de viabilidad técnica y disponibilidad presupuestal previamente definidos, los cuales resultan de obligatorio cumplimiento para todas las entidades y actores que pretendan acceder a recursos públicos del sector energético.</w:t>
      </w:r>
    </w:p>
    <w:p w14:paraId="573438F1" w14:textId="7E272FD2" w:rsidR="00CF45F8" w:rsidRDefault="00157659" w:rsidP="00CF45F8">
      <w:pPr>
        <w:spacing w:line="240" w:lineRule="auto"/>
        <w:jc w:val="both"/>
        <w:rPr>
          <w:rFonts w:ascii="Work Sans" w:eastAsia="Calibri" w:hAnsi="Work Sans" w:cs="Arial"/>
          <w:sz w:val="24"/>
          <w:szCs w:val="24"/>
        </w:rPr>
      </w:pPr>
      <w:r w:rsidRPr="00157659">
        <w:rPr>
          <w:rFonts w:ascii="Work Sans" w:eastAsia="Calibri" w:hAnsi="Work Sans" w:cs="Arial"/>
          <w:sz w:val="24"/>
          <w:szCs w:val="24"/>
        </w:rPr>
        <w:t xml:space="preserve">De igual forma, tratándose de iniciativas enmarcadas en la Estrategia de Comunidades Energéticas, los proyectos deberán acreditar el cumplimiento de los criterios de focalización, priorización y registro establecidos en la Resolución 40509 de 2024, </w:t>
      </w:r>
      <w:r w:rsidR="00D71097">
        <w:rPr>
          <w:rFonts w:ascii="Work Sans" w:eastAsia="Calibri" w:hAnsi="Work Sans" w:cs="Arial"/>
          <w:sz w:val="24"/>
          <w:szCs w:val="24"/>
        </w:rPr>
        <w:t>genéricamente</w:t>
      </w:r>
      <w:r w:rsidRPr="00157659">
        <w:rPr>
          <w:rFonts w:ascii="Work Sans" w:eastAsia="Calibri" w:hAnsi="Work Sans" w:cs="Arial"/>
          <w:sz w:val="24"/>
          <w:szCs w:val="24"/>
        </w:rPr>
        <w:t xml:space="preserve"> en lo relacionado con:</w:t>
      </w:r>
    </w:p>
    <w:p w14:paraId="41EE52F9" w14:textId="77777777" w:rsidR="00CF45F8" w:rsidRPr="00CF45F8" w:rsidRDefault="00CF45F8" w:rsidP="00682A0A">
      <w:pPr>
        <w:pStyle w:val="Prrafodelista"/>
        <w:numPr>
          <w:ilvl w:val="0"/>
          <w:numId w:val="22"/>
        </w:numPr>
        <w:spacing w:line="240" w:lineRule="auto"/>
        <w:jc w:val="both"/>
        <w:rPr>
          <w:rFonts w:ascii="Work Sans" w:eastAsia="Calibri" w:hAnsi="Work Sans" w:cs="Arial"/>
          <w:i/>
          <w:iCs/>
          <w:sz w:val="24"/>
          <w:szCs w:val="24"/>
        </w:rPr>
      </w:pPr>
      <w:r w:rsidRPr="00CF45F8">
        <w:rPr>
          <w:rFonts w:ascii="Work Sans" w:eastAsia="Calibri" w:hAnsi="Work Sans" w:cs="Arial"/>
          <w:i/>
          <w:iCs/>
          <w:sz w:val="24"/>
          <w:szCs w:val="24"/>
        </w:rPr>
        <w:t>Pobreza Multidimensional</w:t>
      </w:r>
    </w:p>
    <w:p w14:paraId="69DDB0B4" w14:textId="77777777" w:rsidR="00CF45F8" w:rsidRPr="00CF45F8" w:rsidRDefault="00CF45F8" w:rsidP="00CF45F8">
      <w:pPr>
        <w:pStyle w:val="Prrafodelista"/>
        <w:numPr>
          <w:ilvl w:val="0"/>
          <w:numId w:val="22"/>
        </w:numPr>
        <w:spacing w:line="240" w:lineRule="auto"/>
        <w:jc w:val="both"/>
        <w:rPr>
          <w:rFonts w:ascii="Work Sans" w:eastAsia="Calibri" w:hAnsi="Work Sans" w:cs="Arial"/>
          <w:i/>
          <w:iCs/>
          <w:sz w:val="24"/>
          <w:szCs w:val="24"/>
        </w:rPr>
      </w:pPr>
      <w:r w:rsidRPr="00CF45F8">
        <w:rPr>
          <w:rFonts w:ascii="Work Sans" w:eastAsia="Calibri" w:hAnsi="Work Sans" w:cs="Arial"/>
          <w:i/>
          <w:iCs/>
          <w:sz w:val="24"/>
          <w:szCs w:val="24"/>
        </w:rPr>
        <w:t>Pobreza Energética Multidimensional</w:t>
      </w:r>
    </w:p>
    <w:p w14:paraId="20BFC65E" w14:textId="77777777" w:rsidR="00CF45F8" w:rsidRPr="00CF45F8" w:rsidRDefault="00CF45F8" w:rsidP="00CF45F8">
      <w:pPr>
        <w:pStyle w:val="Prrafodelista"/>
        <w:numPr>
          <w:ilvl w:val="0"/>
          <w:numId w:val="22"/>
        </w:numPr>
        <w:spacing w:line="240" w:lineRule="auto"/>
        <w:jc w:val="both"/>
        <w:rPr>
          <w:rFonts w:ascii="Work Sans" w:eastAsia="Calibri" w:hAnsi="Work Sans" w:cs="Arial"/>
          <w:i/>
          <w:iCs/>
          <w:sz w:val="24"/>
          <w:szCs w:val="24"/>
        </w:rPr>
      </w:pPr>
      <w:r w:rsidRPr="00CF45F8">
        <w:rPr>
          <w:rFonts w:ascii="Work Sans" w:eastAsia="Calibri" w:hAnsi="Work Sans" w:cs="Arial"/>
          <w:i/>
          <w:iCs/>
          <w:sz w:val="24"/>
          <w:szCs w:val="24"/>
        </w:rPr>
        <w:t xml:space="preserve">Territorios de Paz </w:t>
      </w:r>
    </w:p>
    <w:p w14:paraId="002C372B" w14:textId="77777777" w:rsidR="00CF45F8" w:rsidRPr="00CF45F8" w:rsidRDefault="00CF45F8" w:rsidP="00CF45F8">
      <w:pPr>
        <w:pStyle w:val="Prrafodelista"/>
        <w:numPr>
          <w:ilvl w:val="0"/>
          <w:numId w:val="22"/>
        </w:numPr>
        <w:spacing w:line="240" w:lineRule="auto"/>
        <w:jc w:val="both"/>
        <w:rPr>
          <w:rFonts w:ascii="Work Sans" w:eastAsia="Calibri" w:hAnsi="Work Sans" w:cs="Arial"/>
          <w:i/>
          <w:iCs/>
          <w:sz w:val="24"/>
          <w:szCs w:val="24"/>
        </w:rPr>
      </w:pPr>
      <w:r w:rsidRPr="00CF45F8">
        <w:rPr>
          <w:rFonts w:ascii="Work Sans" w:eastAsia="Calibri" w:hAnsi="Work Sans" w:cs="Arial"/>
          <w:i/>
          <w:iCs/>
          <w:sz w:val="24"/>
          <w:szCs w:val="24"/>
        </w:rPr>
        <w:t>Territorios del Sistema Nacional de Reforma Agraria y Desarrollo Rural</w:t>
      </w:r>
    </w:p>
    <w:p w14:paraId="3648E256" w14:textId="77777777" w:rsidR="00CF45F8" w:rsidRPr="00CF45F8" w:rsidRDefault="00CF45F8" w:rsidP="00CF45F8">
      <w:pPr>
        <w:pStyle w:val="Prrafodelista"/>
        <w:numPr>
          <w:ilvl w:val="0"/>
          <w:numId w:val="22"/>
        </w:numPr>
        <w:spacing w:line="240" w:lineRule="auto"/>
        <w:jc w:val="both"/>
        <w:rPr>
          <w:rFonts w:ascii="Work Sans" w:eastAsia="Calibri" w:hAnsi="Work Sans" w:cs="Arial"/>
          <w:i/>
          <w:iCs/>
          <w:sz w:val="24"/>
          <w:szCs w:val="24"/>
        </w:rPr>
      </w:pPr>
      <w:r w:rsidRPr="00CF45F8">
        <w:rPr>
          <w:rFonts w:ascii="Work Sans" w:eastAsia="Calibri" w:hAnsi="Work Sans" w:cs="Arial"/>
          <w:i/>
          <w:iCs/>
          <w:sz w:val="24"/>
          <w:szCs w:val="24"/>
        </w:rPr>
        <w:t>Territorios Campesinos Agroalimentarios (TECAM)</w:t>
      </w:r>
    </w:p>
    <w:p w14:paraId="547FBBED" w14:textId="77777777" w:rsidR="00CF45F8" w:rsidRPr="00CF45F8" w:rsidRDefault="00CF45F8" w:rsidP="00CC1594">
      <w:pPr>
        <w:pStyle w:val="Prrafodelista"/>
        <w:numPr>
          <w:ilvl w:val="0"/>
          <w:numId w:val="22"/>
        </w:numPr>
        <w:spacing w:line="240" w:lineRule="auto"/>
        <w:jc w:val="both"/>
        <w:rPr>
          <w:rFonts w:ascii="Work Sans" w:eastAsia="Calibri" w:hAnsi="Work Sans" w:cs="Arial"/>
          <w:i/>
          <w:iCs/>
          <w:sz w:val="24"/>
          <w:szCs w:val="24"/>
        </w:rPr>
      </w:pPr>
      <w:r w:rsidRPr="00CF45F8">
        <w:rPr>
          <w:rFonts w:ascii="Work Sans" w:eastAsia="Calibri" w:hAnsi="Work Sans" w:cs="Arial"/>
          <w:i/>
          <w:iCs/>
          <w:sz w:val="24"/>
          <w:szCs w:val="24"/>
        </w:rPr>
        <w:t xml:space="preserve">Territorios de Antiguos Espacios Territoriales de Capacitación y Reincorporación, y Áreas Especiales de Reincorporación Colectiva. </w:t>
      </w:r>
    </w:p>
    <w:p w14:paraId="2F3B060D" w14:textId="3A075E5B" w:rsidR="00CF45F8" w:rsidRPr="00CF45F8" w:rsidRDefault="00CF45F8" w:rsidP="00CC1594">
      <w:pPr>
        <w:pStyle w:val="Prrafodelista"/>
        <w:numPr>
          <w:ilvl w:val="0"/>
          <w:numId w:val="22"/>
        </w:numPr>
        <w:spacing w:line="240" w:lineRule="auto"/>
        <w:jc w:val="both"/>
        <w:rPr>
          <w:rFonts w:ascii="Work Sans" w:eastAsia="Calibri" w:hAnsi="Work Sans" w:cs="Arial"/>
          <w:i/>
          <w:iCs/>
          <w:sz w:val="24"/>
          <w:szCs w:val="24"/>
        </w:rPr>
      </w:pPr>
      <w:r w:rsidRPr="00CF45F8">
        <w:rPr>
          <w:rFonts w:ascii="Work Sans" w:eastAsia="Calibri" w:hAnsi="Work Sans" w:cs="Arial"/>
          <w:i/>
          <w:iCs/>
          <w:sz w:val="24"/>
          <w:szCs w:val="24"/>
        </w:rPr>
        <w:t>Territorios colectivos de pueblos originarios o comunidades indígenas</w:t>
      </w:r>
    </w:p>
    <w:p w14:paraId="730C5910" w14:textId="77777777" w:rsidR="00CF45F8" w:rsidRPr="00CF45F8" w:rsidRDefault="00CF45F8" w:rsidP="00835C02">
      <w:pPr>
        <w:pStyle w:val="Prrafodelista"/>
        <w:numPr>
          <w:ilvl w:val="0"/>
          <w:numId w:val="22"/>
        </w:numPr>
        <w:spacing w:line="240" w:lineRule="auto"/>
        <w:jc w:val="both"/>
        <w:rPr>
          <w:rFonts w:ascii="Work Sans" w:eastAsia="Calibri" w:hAnsi="Work Sans" w:cs="Arial"/>
          <w:i/>
          <w:iCs/>
          <w:sz w:val="24"/>
          <w:szCs w:val="24"/>
        </w:rPr>
      </w:pPr>
      <w:r w:rsidRPr="00CF45F8">
        <w:rPr>
          <w:rFonts w:ascii="Work Sans" w:eastAsia="Calibri" w:hAnsi="Work Sans" w:cs="Arial"/>
          <w:i/>
          <w:iCs/>
          <w:sz w:val="24"/>
          <w:szCs w:val="24"/>
        </w:rPr>
        <w:t>Territorios con alta dependencia al carbón térmico</w:t>
      </w:r>
    </w:p>
    <w:p w14:paraId="4511922A" w14:textId="773AE048" w:rsidR="00CF45F8" w:rsidRPr="00CF45F8" w:rsidRDefault="00CF45F8" w:rsidP="00835C02">
      <w:pPr>
        <w:pStyle w:val="Prrafodelista"/>
        <w:numPr>
          <w:ilvl w:val="0"/>
          <w:numId w:val="22"/>
        </w:numPr>
        <w:spacing w:line="240" w:lineRule="auto"/>
        <w:jc w:val="both"/>
        <w:rPr>
          <w:rFonts w:ascii="Work Sans" w:eastAsia="Calibri" w:hAnsi="Work Sans" w:cs="Arial"/>
          <w:sz w:val="24"/>
          <w:szCs w:val="24"/>
        </w:rPr>
      </w:pPr>
      <w:r w:rsidRPr="00CF45F8">
        <w:rPr>
          <w:rFonts w:ascii="Work Sans" w:eastAsia="Calibri" w:hAnsi="Work Sans" w:cs="Arial"/>
          <w:i/>
          <w:iCs/>
          <w:sz w:val="24"/>
          <w:szCs w:val="24"/>
        </w:rPr>
        <w:lastRenderedPageBreak/>
        <w:t>Áreas Especiales</w:t>
      </w:r>
      <w:r w:rsidRPr="00CF45F8">
        <w:rPr>
          <w:rFonts w:ascii="Work Sans" w:eastAsia="Calibri" w:hAnsi="Work Sans" w:cs="Arial"/>
          <w:sz w:val="24"/>
          <w:szCs w:val="24"/>
        </w:rPr>
        <w:t xml:space="preserve">. </w:t>
      </w:r>
    </w:p>
    <w:p w14:paraId="72EA2D29" w14:textId="52E5C527" w:rsidR="00157659" w:rsidRDefault="00157659" w:rsidP="00157659">
      <w:pPr>
        <w:pStyle w:val="Sinespaciado"/>
        <w:jc w:val="both"/>
        <w:rPr>
          <w:rFonts w:ascii="Work Sans" w:eastAsia="Calibri" w:hAnsi="Work Sans" w:cs="Arial"/>
          <w:sz w:val="24"/>
          <w:szCs w:val="24"/>
        </w:rPr>
      </w:pPr>
      <w:r w:rsidRPr="00157659">
        <w:rPr>
          <w:rFonts w:ascii="Work Sans" w:eastAsia="Calibri" w:hAnsi="Work Sans" w:cs="Arial"/>
          <w:sz w:val="24"/>
          <w:szCs w:val="24"/>
        </w:rPr>
        <w:t>Así las cosas, este Ministerio considera que la remisión de proyectos estructurados por parte del IPSE debe entenderse dentro del marco competencial propio de dicha entidad, correspondiéndole adelantar las actuaciones técnicas y administrativas necesarias para su implementación y, en caso de requerirse financiación sectorial, tramitar las solicitudes conforme a las rutas regladas aplicables, garantizando el cumplimiento integral de los requisitos establecidos tanto en los mecanismos FAZNI y FAER como en la normativa específica de Comunidades Energéticas.</w:t>
      </w:r>
    </w:p>
    <w:p w14:paraId="4347156C" w14:textId="77777777" w:rsidR="00157659" w:rsidRPr="00157659" w:rsidRDefault="00157659" w:rsidP="00157659">
      <w:pPr>
        <w:pStyle w:val="Sinespaciado"/>
        <w:jc w:val="both"/>
        <w:rPr>
          <w:rFonts w:ascii="Work Sans" w:hAnsi="Work Sans"/>
          <w:sz w:val="24"/>
          <w:szCs w:val="24"/>
        </w:rPr>
      </w:pPr>
    </w:p>
    <w:p w14:paraId="51E99722" w14:textId="3C64EB06" w:rsidR="000353FB" w:rsidRPr="000353FB" w:rsidRDefault="00157659" w:rsidP="000353FB">
      <w:pPr>
        <w:spacing w:line="240" w:lineRule="auto"/>
        <w:jc w:val="both"/>
        <w:rPr>
          <w:rFonts w:ascii="Work Sans" w:eastAsia="Calibri" w:hAnsi="Work Sans" w:cs="Arial"/>
          <w:sz w:val="24"/>
          <w:szCs w:val="24"/>
        </w:rPr>
      </w:pPr>
      <w:r w:rsidRPr="00157659">
        <w:rPr>
          <w:rFonts w:ascii="Work Sans" w:eastAsia="Calibri" w:hAnsi="Work Sans" w:cs="Arial"/>
          <w:sz w:val="24"/>
          <w:szCs w:val="24"/>
        </w:rPr>
        <w:t>Finalmente, resulta importante precisar que la Estrategia de Comunidades Energéticas constituye un instrumento de política pública orientado a promover la democratización de la energía, la participación comunitaria y el acceso equitativo a soluciones energéticas sostenibles; sin embargo, su implementación debe desarrollarse bajo criterios de coordinación institucional, planeación sectorial, sostenibilidad financiera y observancia estricta de las competencias y procedimientos definidos en el marco normativo vigente</w:t>
      </w:r>
      <w:r w:rsidR="000353FB" w:rsidRPr="000353FB">
        <w:rPr>
          <w:rFonts w:ascii="Work Sans" w:eastAsia="Calibri" w:hAnsi="Work Sans" w:cs="Arial"/>
          <w:sz w:val="24"/>
          <w:szCs w:val="24"/>
        </w:rPr>
        <w:t>.</w:t>
      </w:r>
    </w:p>
    <w:p w14:paraId="7F631C2F" w14:textId="55D8C399" w:rsidR="00484A5A" w:rsidRPr="00E406F8" w:rsidRDefault="00484A5A" w:rsidP="00E406F8">
      <w:pPr>
        <w:spacing w:line="240" w:lineRule="auto"/>
        <w:jc w:val="both"/>
        <w:rPr>
          <w:rFonts w:ascii="Work Sans" w:eastAsia="Work Sans" w:hAnsi="Work Sans" w:cs="Work Sans"/>
          <w:sz w:val="24"/>
          <w:szCs w:val="24"/>
        </w:rPr>
      </w:pPr>
      <w:r w:rsidRPr="00640E5A">
        <w:rPr>
          <w:rFonts w:ascii="Work Sans" w:hAnsi="Work Sans" w:cs="Arial"/>
          <w:sz w:val="24"/>
        </w:rPr>
        <w:t>Cordialmente,</w:t>
      </w:r>
    </w:p>
    <w:p w14:paraId="587D12C3" w14:textId="77777777" w:rsidR="00DE1913" w:rsidRDefault="00DE1913">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tcPr>
          <w:p w14:paraId="5145A6CB" w14:textId="77777777" w:rsidR="00DE1913" w:rsidRPr="00F94C11" w:rsidRDefault="003B2B73">
            <w:pPr>
              <w:widowControl w:val="0"/>
              <w:spacing w:after="0"/>
              <w:rPr>
                <w:rFonts w:ascii="Work Sans" w:hAnsi="Work Sans"/>
                <w:sz w:val="24"/>
                <w:szCs w:val="24"/>
              </w:rPr>
            </w:pPr>
            <w:proofErr w:type="spellStart"/>
            <w:r w:rsidRPr="00F94C11">
              <w:rPr>
                <w:rFonts w:ascii="Work Sans" w:hAnsi="Work Sans" w:cs="Arial"/>
                <w:sz w:val="24"/>
                <w:szCs w:val="24"/>
              </w:rPr>
              <w:t>Tabla_Firmantes</w:t>
            </w:r>
            <w:proofErr w:type="spellEnd"/>
          </w:p>
        </w:tc>
      </w:tr>
      <w:tr w:rsidR="00DE1913" w14:paraId="37C4CDA5" w14:textId="77777777">
        <w:tc>
          <w:tcPr>
            <w:tcW w:w="4380" w:type="dxa"/>
          </w:tcPr>
          <w:p w14:paraId="7D1CDEBA" w14:textId="77777777" w:rsidR="00DE1913" w:rsidRDefault="00DE1913">
            <w:pPr>
              <w:widowControl w:val="0"/>
              <w:spacing w:after="0"/>
              <w:rPr>
                <w:rFonts w:ascii="Work Sans ExtraLight" w:hAnsi="Work Sans ExtraLight"/>
              </w:rPr>
            </w:pPr>
          </w:p>
        </w:tc>
        <w:tc>
          <w:tcPr>
            <w:tcW w:w="4409" w:type="dxa"/>
          </w:tcPr>
          <w:p w14:paraId="5799865F" w14:textId="77777777" w:rsidR="00DE1913" w:rsidRDefault="00DE1913">
            <w:pPr>
              <w:widowControl w:val="0"/>
              <w:spacing w:after="0"/>
              <w:rPr>
                <w:rFonts w:ascii="Work Sans ExtraLight" w:hAnsi="Work Sans ExtraLight"/>
              </w:rPr>
            </w:pPr>
          </w:p>
        </w:tc>
      </w:tr>
      <w:tr w:rsidR="00DE1913" w14:paraId="4D903A80" w14:textId="77777777">
        <w:tc>
          <w:tcPr>
            <w:tcW w:w="4380" w:type="dxa"/>
          </w:tcPr>
          <w:p w14:paraId="1411F255" w14:textId="77777777" w:rsidR="00DE1913" w:rsidRDefault="00DE1913">
            <w:pPr>
              <w:widowControl w:val="0"/>
              <w:spacing w:after="0"/>
              <w:rPr>
                <w:rFonts w:ascii="Work Sans ExtraLight" w:hAnsi="Work Sans ExtraLight"/>
              </w:rPr>
            </w:pPr>
          </w:p>
        </w:tc>
        <w:tc>
          <w:tcPr>
            <w:tcW w:w="4409" w:type="dxa"/>
          </w:tcPr>
          <w:p w14:paraId="0F8A73FC" w14:textId="77777777" w:rsidR="00DE1913" w:rsidRDefault="00DE1913">
            <w:pPr>
              <w:widowControl w:val="0"/>
              <w:spacing w:after="0"/>
              <w:rPr>
                <w:rFonts w:ascii="Work Sans ExtraLight" w:hAnsi="Work Sans ExtraLight"/>
              </w:rPr>
            </w:pPr>
          </w:p>
        </w:tc>
      </w:tr>
    </w:tbl>
    <w:p w14:paraId="312123EE" w14:textId="77777777" w:rsidR="00DE1913" w:rsidRDefault="003B2B73">
      <w:pPr>
        <w:spacing w:after="0"/>
        <w:rPr>
          <w:rFonts w:ascii="Work Sans" w:hAnsi="Work Sans"/>
          <w:sz w:val="16"/>
          <w:szCs w:val="16"/>
        </w:rPr>
      </w:pPr>
      <w:proofErr w:type="spellStart"/>
      <w:r>
        <w:rPr>
          <w:rFonts w:ascii="Work Sans" w:hAnsi="Work Sans"/>
          <w:sz w:val="16"/>
          <w:szCs w:val="16"/>
        </w:rPr>
        <w:t>ley_texto</w:t>
      </w:r>
      <w:proofErr w:type="spellEnd"/>
    </w:p>
    <w:p w14:paraId="5F6C3CB9" w14:textId="77777777" w:rsidR="00DE1913" w:rsidRDefault="003B2B73">
      <w:pPr>
        <w:spacing w:after="0"/>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56626830"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rad_padre</w:t>
      </w:r>
      <w:proofErr w:type="spellEnd"/>
    </w:p>
    <w:p w14:paraId="1843D142"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anexo_r</w:t>
      </w:r>
      <w:proofErr w:type="spellEnd"/>
    </w:p>
    <w:p w14:paraId="7CBF7FF4" w14:textId="77777777" w:rsidR="00DE1913" w:rsidRDefault="003B2B73">
      <w:pPr>
        <w:spacing w:after="0"/>
      </w:pPr>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sectPr w:rsidR="00DE1913">
      <w:headerReference w:type="default" r:id="rId8"/>
      <w:footerReference w:type="default" r:id="rId9"/>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7D7700" w14:textId="77777777" w:rsidR="00CA6078" w:rsidRDefault="00CA6078">
      <w:pPr>
        <w:spacing w:after="0" w:line="240" w:lineRule="auto"/>
      </w:pPr>
      <w:r>
        <w:separator/>
      </w:r>
    </w:p>
  </w:endnote>
  <w:endnote w:type="continuationSeparator" w:id="0">
    <w:p w14:paraId="1B6DAB1F" w14:textId="77777777" w:rsidR="00CA6078" w:rsidRDefault="00CA60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charset w:val="00"/>
    <w:family w:val="auto"/>
    <w:pitch w:val="variable"/>
    <w:sig w:usb0="A00000FF" w:usb1="5000E07B" w:usb2="00000000" w:usb3="00000000" w:csb0="00000193" w:csb1="00000000"/>
  </w:font>
  <w:font w:name="Work Sans ExtraLight">
    <w:charset w:val="00"/>
    <w:family w:val="auto"/>
    <w:pitch w:val="variable"/>
    <w:sig w:usb0="A00000FF" w:usb1="5000E07B" w:usb2="00000000" w:usb3="00000000" w:csb0="00000193" w:csb1="00000000"/>
  </w:font>
  <w:font w:name="Arial Unicode MS">
    <w:panose1 w:val="020B0604020202020204"/>
    <w:charset w:val="00"/>
    <w:family w:val="roman"/>
    <w:pitch w:val="variable"/>
    <w:sig w:usb0="00000003" w:usb1="00000000" w:usb2="00000000" w:usb3="00000000" w:csb0="00000001"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25EFB" w14:textId="749C1687" w:rsidR="00DE1913" w:rsidRDefault="002478C2">
    <w:pPr>
      <w:pStyle w:val="Piedepgina"/>
    </w:pPr>
    <w:r>
      <w:rPr>
        <w:noProof/>
      </w:rPr>
      <w:drawing>
        <wp:anchor distT="0" distB="0" distL="114300" distR="114300" simplePos="0" relativeHeight="251663360"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EC7FC2" w14:textId="77777777" w:rsidR="00CA6078" w:rsidRDefault="00CA6078">
      <w:pPr>
        <w:spacing w:after="0" w:line="240" w:lineRule="auto"/>
      </w:pPr>
      <w:r>
        <w:separator/>
      </w:r>
    </w:p>
  </w:footnote>
  <w:footnote w:type="continuationSeparator" w:id="0">
    <w:p w14:paraId="09A3CC92" w14:textId="77777777" w:rsidR="00CA6078" w:rsidRDefault="00CA6078">
      <w:pPr>
        <w:spacing w:after="0" w:line="240" w:lineRule="auto"/>
      </w:pPr>
      <w:r>
        <w:continuationSeparator/>
      </w:r>
    </w:p>
  </w:footnote>
  <w:footnote w:id="1">
    <w:p w14:paraId="2F06CD7D" w14:textId="15D33ADA" w:rsidR="00212346" w:rsidRPr="00B53787" w:rsidRDefault="00212346" w:rsidP="00B53787">
      <w:pPr>
        <w:pStyle w:val="Textonotapie"/>
        <w:jc w:val="both"/>
        <w:rPr>
          <w:rFonts w:ascii="Work Sans" w:hAnsi="Work Sans"/>
          <w:sz w:val="18"/>
          <w:szCs w:val="18"/>
          <w:lang w:val="es-CO"/>
        </w:rPr>
      </w:pPr>
      <w:r w:rsidRPr="00B53787">
        <w:rPr>
          <w:rStyle w:val="Refdenotaalpie"/>
          <w:rFonts w:ascii="Work Sans" w:hAnsi="Work Sans"/>
          <w:b/>
          <w:bCs/>
          <w:sz w:val="18"/>
          <w:szCs w:val="18"/>
        </w:rPr>
        <w:footnoteRef/>
      </w:r>
      <w:r w:rsidRPr="00B53787">
        <w:rPr>
          <w:rFonts w:ascii="Work Sans" w:hAnsi="Work Sans"/>
          <w:b/>
          <w:bCs/>
          <w:sz w:val="18"/>
          <w:szCs w:val="18"/>
        </w:rPr>
        <w:t xml:space="preserve"> </w:t>
      </w:r>
      <w:r w:rsidRPr="00B53787">
        <w:rPr>
          <w:rFonts w:ascii="Work Sans" w:hAnsi="Work Sans"/>
          <w:sz w:val="18"/>
          <w:szCs w:val="18"/>
          <w:lang w:val="es-CO"/>
        </w:rPr>
        <w:t xml:space="preserve">Decreto 2236 de 2023 </w:t>
      </w:r>
      <w:r w:rsidRPr="00B53787">
        <w:rPr>
          <w:rFonts w:ascii="Work Sans" w:hAnsi="Work Sans"/>
          <w:i/>
          <w:iCs/>
          <w:sz w:val="18"/>
          <w:szCs w:val="18"/>
          <w:lang w:val="es-CO"/>
        </w:rPr>
        <w:t xml:space="preserve">"Por el cual se adiciona al Decreto </w:t>
      </w:r>
      <w:hyperlink r:id="rId1" w:anchor=" 1073" w:tooltip="vinculo" w:history="1">
        <w:r w:rsidRPr="00B53787">
          <w:rPr>
            <w:rStyle w:val="Hipervnculo"/>
            <w:rFonts w:ascii="Work Sans" w:hAnsi="Work Sans"/>
            <w:i/>
            <w:iCs/>
            <w:color w:val="auto"/>
            <w:sz w:val="18"/>
            <w:szCs w:val="18"/>
            <w:u w:val="none"/>
            <w:lang w:val="es-CO"/>
          </w:rPr>
          <w:t xml:space="preserve">1073 </w:t>
        </w:r>
      </w:hyperlink>
      <w:r w:rsidRPr="00B53787">
        <w:rPr>
          <w:rFonts w:ascii="Work Sans" w:hAnsi="Work Sans"/>
          <w:i/>
          <w:iCs/>
          <w:sz w:val="18"/>
          <w:szCs w:val="18"/>
          <w:lang w:val="es-CO"/>
        </w:rPr>
        <w:t>de 2015 con el fin de reglamentar parcialmente el artículo 235 de la Ley 2294 de 2023 del Plan Nacional de Desarrollo 2022 - 2026 en lo relacionado con las Comunidades Energéticas en el marco de la Transición Energética Justa en Colombia"</w:t>
      </w:r>
      <w:r w:rsidRPr="00B53787">
        <w:rPr>
          <w:rFonts w:ascii="Work Sans" w:hAnsi="Work Sans"/>
          <w:i/>
          <w:iCs/>
          <w:sz w:val="18"/>
          <w:szCs w:val="18"/>
          <w:lang w:val="es-CO"/>
        </w:rPr>
        <w:t xml:space="preserve"> </w:t>
      </w:r>
      <w:r w:rsidRPr="00B53787">
        <w:rPr>
          <w:rFonts w:ascii="Work Sans" w:hAnsi="Work Sans"/>
          <w:sz w:val="18"/>
          <w:szCs w:val="18"/>
          <w:lang w:val="es-CO"/>
        </w:rPr>
        <w:t xml:space="preserve">Disponlbe en: </w:t>
      </w:r>
      <w:hyperlink r:id="rId2" w:history="1">
        <w:r w:rsidRPr="00B53787">
          <w:rPr>
            <w:rStyle w:val="Hipervnculo"/>
            <w:rFonts w:ascii="Work Sans" w:hAnsi="Work Sans"/>
            <w:sz w:val="18"/>
            <w:szCs w:val="18"/>
            <w:lang w:val="es-CO"/>
          </w:rPr>
          <w:t>https://www.funcionpublica.gov.co/eva/gestornormativo/norma.php?i=227230</w:t>
        </w:r>
      </w:hyperlink>
      <w:r w:rsidRPr="00B53787">
        <w:rPr>
          <w:rFonts w:ascii="Work Sans" w:hAnsi="Work Sans"/>
          <w:sz w:val="18"/>
          <w:szCs w:val="18"/>
          <w:lang w:val="es-CO"/>
        </w:rPr>
        <w:t xml:space="preserve"> </w:t>
      </w:r>
    </w:p>
    <w:p w14:paraId="07BB5F8E" w14:textId="33060928" w:rsidR="00212346" w:rsidRPr="00B53787" w:rsidRDefault="00212346" w:rsidP="00B53787">
      <w:pPr>
        <w:pStyle w:val="Textonotapie"/>
        <w:jc w:val="both"/>
        <w:rPr>
          <w:rFonts w:ascii="Work Sans" w:hAnsi="Work Sans"/>
          <w:sz w:val="18"/>
          <w:szCs w:val="18"/>
          <w:lang w:val="es-CO"/>
        </w:rPr>
      </w:pPr>
    </w:p>
  </w:footnote>
  <w:footnote w:id="2">
    <w:p w14:paraId="048A2474" w14:textId="77777777" w:rsidR="00B53787" w:rsidRPr="00B53787" w:rsidRDefault="00B53787" w:rsidP="00B53787">
      <w:pPr>
        <w:pStyle w:val="Textonotapie"/>
        <w:jc w:val="both"/>
        <w:rPr>
          <w:rFonts w:ascii="Work Sans" w:hAnsi="Work Sans"/>
          <w:sz w:val="18"/>
          <w:szCs w:val="18"/>
          <w:lang w:val="es-CO"/>
        </w:rPr>
      </w:pPr>
      <w:r w:rsidRPr="00B53787">
        <w:rPr>
          <w:rStyle w:val="Refdenotaalpie"/>
          <w:rFonts w:ascii="Work Sans" w:hAnsi="Work Sans"/>
          <w:b/>
          <w:bCs/>
          <w:sz w:val="18"/>
          <w:szCs w:val="18"/>
        </w:rPr>
        <w:footnoteRef/>
      </w:r>
      <w:r w:rsidRPr="00B53787">
        <w:rPr>
          <w:rFonts w:ascii="Work Sans" w:hAnsi="Work Sans"/>
          <w:b/>
          <w:bCs/>
          <w:sz w:val="18"/>
          <w:szCs w:val="18"/>
        </w:rPr>
        <w:t xml:space="preserve"> </w:t>
      </w:r>
      <w:r w:rsidRPr="00B53787">
        <w:rPr>
          <w:rFonts w:ascii="Work Sans" w:hAnsi="Work Sans"/>
          <w:sz w:val="18"/>
          <w:szCs w:val="18"/>
          <w:lang w:val="es-CO"/>
        </w:rPr>
        <w:t>Resolución 40509 de 2024</w:t>
      </w:r>
      <w:r w:rsidRPr="00B53787">
        <w:rPr>
          <w:rFonts w:ascii="Work Sans" w:hAnsi="Work Sans"/>
          <w:sz w:val="18"/>
          <w:szCs w:val="18"/>
          <w:lang w:val="es-CO"/>
        </w:rPr>
        <w:t xml:space="preserve"> “</w:t>
      </w:r>
      <w:r w:rsidRPr="00B53787">
        <w:rPr>
          <w:rFonts w:ascii="Work Sans" w:hAnsi="Work Sans"/>
          <w:i/>
          <w:iCs/>
          <w:sz w:val="18"/>
          <w:szCs w:val="18"/>
          <w:lang w:val="es-CO"/>
        </w:rPr>
        <w:t>Mediante la cual se reglamenta el Registro de Comunidades Energéticas (RCE) y se definen los Criterios de Focalización y Priorización para la orientación de recursos públicos con destino a Comunidades Energéticas y, otras disposiciones</w:t>
      </w:r>
      <w:r w:rsidRPr="00B53787">
        <w:rPr>
          <w:rFonts w:ascii="Work Sans" w:hAnsi="Work Sans"/>
          <w:sz w:val="18"/>
          <w:szCs w:val="18"/>
          <w:lang w:val="es-CO"/>
        </w:rPr>
        <w:t>.</w:t>
      </w:r>
      <w:r w:rsidRPr="00B53787">
        <w:rPr>
          <w:rFonts w:ascii="Work Sans" w:hAnsi="Work Sans"/>
          <w:sz w:val="18"/>
          <w:szCs w:val="18"/>
          <w:lang w:val="es-CO"/>
        </w:rPr>
        <w:t xml:space="preserve">” Disponible en: </w:t>
      </w:r>
    </w:p>
    <w:p w14:paraId="5CF8F710" w14:textId="06FC2DFC" w:rsidR="00B53787" w:rsidRPr="00B53787" w:rsidRDefault="00B53787" w:rsidP="00B53787">
      <w:pPr>
        <w:pStyle w:val="Textonotapie"/>
        <w:jc w:val="both"/>
        <w:rPr>
          <w:lang w:val="es-CO"/>
        </w:rPr>
      </w:pPr>
      <w:hyperlink r:id="rId3" w:history="1">
        <w:r w:rsidRPr="00B53787">
          <w:rPr>
            <w:rStyle w:val="Hipervnculo"/>
            <w:rFonts w:ascii="Work Sans" w:hAnsi="Work Sans"/>
            <w:sz w:val="18"/>
            <w:szCs w:val="18"/>
            <w:lang w:val="es-CO"/>
          </w:rPr>
          <w:t>https://www.minenergia.gov.co/es/comunidades-energeticas/</w:t>
        </w:r>
      </w:hyperlink>
      <w:r>
        <w:rPr>
          <w:rFonts w:ascii="Work Sans" w:hAnsi="Work Sans"/>
          <w:sz w:val="18"/>
          <w:szCs w:val="18"/>
          <w:lang w:val="es-CO"/>
        </w:rPr>
        <w:t xml:space="preserve"> </w:t>
      </w:r>
    </w:p>
  </w:footnote>
  <w:footnote w:id="3">
    <w:p w14:paraId="689D7F78" w14:textId="2FE5CD7C" w:rsidR="00157659" w:rsidRPr="00B53787" w:rsidRDefault="00157659" w:rsidP="00157659">
      <w:pPr>
        <w:pStyle w:val="Textonotapie"/>
        <w:jc w:val="both"/>
        <w:rPr>
          <w:rFonts w:ascii="Work Sans" w:hAnsi="Work Sans"/>
          <w:sz w:val="18"/>
          <w:szCs w:val="18"/>
          <w:lang w:val="es-CO"/>
        </w:rPr>
      </w:pPr>
      <w:r w:rsidRPr="00B53787">
        <w:rPr>
          <w:rStyle w:val="Refdenotaalpie"/>
          <w:rFonts w:ascii="Work Sans" w:hAnsi="Work Sans"/>
          <w:b/>
          <w:bCs/>
          <w:sz w:val="18"/>
          <w:szCs w:val="18"/>
        </w:rPr>
        <w:footnoteRef/>
      </w:r>
      <w:r w:rsidRPr="00B53787">
        <w:rPr>
          <w:rFonts w:ascii="Work Sans" w:hAnsi="Work Sans"/>
          <w:b/>
          <w:bCs/>
          <w:sz w:val="18"/>
          <w:szCs w:val="18"/>
        </w:rPr>
        <w:t xml:space="preserve"> </w:t>
      </w:r>
      <w:r w:rsidRPr="00157659">
        <w:rPr>
          <w:rFonts w:ascii="Work Sans" w:hAnsi="Work Sans"/>
          <w:sz w:val="18"/>
          <w:szCs w:val="18"/>
          <w:lang w:val="es-CO"/>
        </w:rPr>
        <w:t xml:space="preserve">Decreto 381 de 2012. </w:t>
      </w:r>
      <w:r w:rsidR="00B53787" w:rsidRPr="00B53787">
        <w:rPr>
          <w:rFonts w:ascii="Work Sans" w:hAnsi="Work Sans"/>
          <w:i/>
          <w:iCs/>
          <w:sz w:val="18"/>
          <w:szCs w:val="18"/>
          <w:lang w:val="es-CO"/>
        </w:rPr>
        <w:t>“Por el cual se modifica la estructura del Ministerio de Minas y Energía.”</w:t>
      </w:r>
      <w:r w:rsidR="00B53787">
        <w:rPr>
          <w:rFonts w:ascii="Work Sans" w:hAnsi="Work Sans"/>
          <w:sz w:val="18"/>
          <w:szCs w:val="18"/>
          <w:lang w:val="es-CO"/>
        </w:rPr>
        <w:t xml:space="preserve"> </w:t>
      </w:r>
      <w:r w:rsidRPr="00157659">
        <w:rPr>
          <w:rFonts w:ascii="Work Sans" w:hAnsi="Work Sans"/>
          <w:sz w:val="18"/>
          <w:szCs w:val="18"/>
          <w:lang w:val="es-CO"/>
        </w:rPr>
        <w:t>Disponible en:</w:t>
      </w:r>
      <w:r w:rsidR="00B53787">
        <w:rPr>
          <w:rFonts w:ascii="Work Sans" w:hAnsi="Work Sans"/>
          <w:sz w:val="18"/>
          <w:szCs w:val="18"/>
          <w:lang w:val="es-CO"/>
        </w:rPr>
        <w:t xml:space="preserve"> </w:t>
      </w:r>
      <w:hyperlink r:id="rId4" w:history="1">
        <w:r w:rsidR="00B53787" w:rsidRPr="00DA6059">
          <w:rPr>
            <w:rStyle w:val="Hipervnculo"/>
            <w:rFonts w:ascii="Work Sans" w:hAnsi="Work Sans"/>
            <w:sz w:val="18"/>
            <w:szCs w:val="18"/>
            <w:lang w:val="es-CO"/>
          </w:rPr>
          <w:t>https://www.funcionpublica.gov.co/eva/gestornormativo/norma.php?i=66321</w:t>
        </w:r>
      </w:hyperlink>
      <w:r w:rsidRPr="00157659">
        <w:rPr>
          <w:rFonts w:ascii="Work Sans" w:hAnsi="Work Sans"/>
          <w:sz w:val="18"/>
          <w:szCs w:val="18"/>
          <w:lang w:val="es-CO"/>
        </w:rPr>
        <w:t xml:space="preserve"> </w:t>
      </w:r>
    </w:p>
  </w:footnote>
  <w:footnote w:id="4">
    <w:p w14:paraId="4AC8CA5D" w14:textId="66848853" w:rsidR="005F14A9" w:rsidRPr="005F14A9" w:rsidRDefault="005F14A9" w:rsidP="005F14A9">
      <w:pPr>
        <w:pStyle w:val="Textonotapie"/>
        <w:jc w:val="both"/>
        <w:rPr>
          <w:rStyle w:val="Hipervnculo"/>
          <w:lang w:val="es-CO"/>
        </w:rPr>
      </w:pPr>
      <w:r w:rsidRPr="005F14A9">
        <w:rPr>
          <w:rStyle w:val="Refdenotaalpie"/>
          <w:rFonts w:ascii="Work Sans" w:hAnsi="Work Sans"/>
          <w:b/>
          <w:bCs/>
          <w:sz w:val="18"/>
          <w:szCs w:val="18"/>
        </w:rPr>
        <w:footnoteRef/>
      </w:r>
      <w:r w:rsidRPr="005F14A9">
        <w:rPr>
          <w:rFonts w:ascii="Work Sans" w:hAnsi="Work Sans"/>
          <w:b/>
          <w:bCs/>
          <w:sz w:val="18"/>
          <w:szCs w:val="18"/>
        </w:rPr>
        <w:t xml:space="preserve"> </w:t>
      </w:r>
      <w:r w:rsidRPr="005F14A9">
        <w:rPr>
          <w:rFonts w:ascii="Work Sans" w:hAnsi="Work Sans"/>
          <w:sz w:val="18"/>
          <w:szCs w:val="18"/>
          <w:lang w:val="es-CO"/>
        </w:rPr>
        <w:t xml:space="preserve">Resolución 40378 de 2023 </w:t>
      </w:r>
      <w:r w:rsidRPr="005F14A9">
        <w:rPr>
          <w:rFonts w:ascii="Work Sans" w:hAnsi="Work Sans"/>
          <w:i/>
          <w:iCs/>
          <w:sz w:val="18"/>
          <w:szCs w:val="18"/>
          <w:lang w:val="es-CO"/>
        </w:rPr>
        <w:t>“</w:t>
      </w:r>
      <w:r w:rsidRPr="005F14A9">
        <w:rPr>
          <w:rFonts w:ascii="Work Sans" w:hAnsi="Work Sans"/>
          <w:i/>
          <w:iCs/>
          <w:sz w:val="18"/>
          <w:szCs w:val="18"/>
          <w:lang w:val="es-CO"/>
        </w:rPr>
        <w:t xml:space="preserve">Por la cual se deroga la Resolución número </w:t>
      </w:r>
      <w:hyperlink r:id="rId5" w:anchor="0" w:tgtFrame="_blank" w:history="1">
        <w:r w:rsidRPr="005F14A9">
          <w:rPr>
            <w:rStyle w:val="Hipervnculo"/>
            <w:rFonts w:ascii="Work Sans" w:hAnsi="Work Sans"/>
            <w:i/>
            <w:iCs/>
            <w:color w:val="auto"/>
            <w:sz w:val="18"/>
            <w:szCs w:val="18"/>
            <w:u w:val="none"/>
            <w:lang w:val="es-CO"/>
          </w:rPr>
          <w:t>41208</w:t>
        </w:r>
      </w:hyperlink>
      <w:r w:rsidRPr="005F14A9">
        <w:rPr>
          <w:rFonts w:ascii="Work Sans" w:hAnsi="Work Sans"/>
          <w:i/>
          <w:iCs/>
          <w:sz w:val="18"/>
          <w:szCs w:val="18"/>
          <w:lang w:val="es-CO"/>
        </w:rPr>
        <w:t xml:space="preserve"> de 2016, y se establecen nuevos parámetros para la asignación de recursos del Fondo de Apoyo Financiero para la Energización de las Zonas No Interconectadas (FAZNI</w:t>
      </w:r>
      <w:r w:rsidRPr="005F14A9">
        <w:rPr>
          <w:rFonts w:ascii="Work Sans" w:hAnsi="Work Sans"/>
          <w:sz w:val="18"/>
          <w:szCs w:val="18"/>
          <w:lang w:val="es-CO"/>
        </w:rPr>
        <w:t>)</w:t>
      </w:r>
      <w:r w:rsidRPr="005F14A9">
        <w:rPr>
          <w:rFonts w:ascii="Work Sans" w:hAnsi="Work Sans"/>
          <w:sz w:val="18"/>
          <w:szCs w:val="18"/>
          <w:lang w:val="es-CO"/>
        </w:rPr>
        <w:t xml:space="preserve">” Disponible en: </w:t>
      </w:r>
      <w:hyperlink r:id="rId6" w:history="1">
        <w:r w:rsidRPr="005F14A9">
          <w:rPr>
            <w:rStyle w:val="Hipervnculo"/>
            <w:rFonts w:ascii="Work Sans" w:hAnsi="Work Sans"/>
            <w:sz w:val="18"/>
            <w:szCs w:val="18"/>
            <w:lang w:val="es-CO"/>
          </w:rPr>
          <w:t>https://gestornormativo.creg.gov.co/gestor/entorno/docs/resolucion_minminas_40378_2023.htm</w:t>
        </w:r>
      </w:hyperlink>
      <w:r w:rsidRPr="005F14A9">
        <w:rPr>
          <w:rStyle w:val="Hipervnculo"/>
          <w:lang w:val="es-CO"/>
        </w:rPr>
        <w:t xml:space="preserve">   </w:t>
      </w:r>
    </w:p>
    <w:p w14:paraId="72B42DC2" w14:textId="14082196" w:rsidR="005F14A9" w:rsidRPr="005F14A9" w:rsidRDefault="005F14A9" w:rsidP="005F14A9">
      <w:pPr>
        <w:pStyle w:val="Textonotapie"/>
        <w:jc w:val="both"/>
        <w:rPr>
          <w:rFonts w:ascii="Work Sans" w:hAnsi="Work Sans"/>
          <w:sz w:val="18"/>
          <w:szCs w:val="18"/>
          <w:lang w:val="es-CO"/>
        </w:rPr>
      </w:pPr>
    </w:p>
  </w:footnote>
  <w:footnote w:id="5">
    <w:p w14:paraId="70DE3E8D" w14:textId="60FD3375" w:rsidR="005F14A9" w:rsidRPr="005F14A9" w:rsidRDefault="005F14A9" w:rsidP="005F14A9">
      <w:pPr>
        <w:pStyle w:val="Textonotapie"/>
        <w:jc w:val="both"/>
        <w:rPr>
          <w:lang w:val="es-CO"/>
        </w:rPr>
      </w:pPr>
      <w:r w:rsidRPr="005F14A9">
        <w:rPr>
          <w:rStyle w:val="Refdenotaalpie"/>
          <w:rFonts w:ascii="Work Sans" w:hAnsi="Work Sans"/>
          <w:b/>
          <w:bCs/>
          <w:sz w:val="18"/>
          <w:szCs w:val="18"/>
        </w:rPr>
        <w:footnoteRef/>
      </w:r>
      <w:r w:rsidRPr="005F14A9">
        <w:rPr>
          <w:rFonts w:ascii="Work Sans" w:hAnsi="Work Sans"/>
          <w:sz w:val="18"/>
          <w:szCs w:val="18"/>
        </w:rPr>
        <w:t xml:space="preserve"> </w:t>
      </w:r>
      <w:r w:rsidRPr="005F14A9">
        <w:rPr>
          <w:rFonts w:ascii="Work Sans" w:hAnsi="Work Sans"/>
          <w:sz w:val="18"/>
          <w:szCs w:val="18"/>
          <w:lang w:val="es-CO"/>
        </w:rPr>
        <w:t xml:space="preserve">Resolución 40379 </w:t>
      </w:r>
      <w:r>
        <w:rPr>
          <w:rFonts w:ascii="Work Sans" w:hAnsi="Work Sans"/>
          <w:sz w:val="18"/>
          <w:szCs w:val="18"/>
          <w:lang w:val="es-CO"/>
        </w:rPr>
        <w:t>d</w:t>
      </w:r>
      <w:r w:rsidRPr="005F14A9">
        <w:rPr>
          <w:rFonts w:ascii="Work Sans" w:hAnsi="Work Sans"/>
          <w:sz w:val="18"/>
          <w:szCs w:val="18"/>
          <w:lang w:val="es-CO"/>
        </w:rPr>
        <w:t>e 2023</w:t>
      </w:r>
      <w:r>
        <w:rPr>
          <w:rFonts w:ascii="Work Sans" w:hAnsi="Work Sans"/>
          <w:sz w:val="18"/>
          <w:szCs w:val="18"/>
          <w:lang w:val="es-CO"/>
        </w:rPr>
        <w:t xml:space="preserve"> </w:t>
      </w:r>
      <w:r w:rsidRPr="005F14A9">
        <w:rPr>
          <w:rFonts w:ascii="Work Sans" w:hAnsi="Work Sans"/>
          <w:i/>
          <w:iCs/>
          <w:sz w:val="18"/>
          <w:szCs w:val="18"/>
          <w:lang w:val="es-CO"/>
        </w:rPr>
        <w:t xml:space="preserve">“ </w:t>
      </w:r>
      <w:r w:rsidRPr="005F14A9">
        <w:rPr>
          <w:rFonts w:ascii="Work Sans" w:hAnsi="Work Sans"/>
          <w:i/>
          <w:iCs/>
          <w:sz w:val="18"/>
          <w:szCs w:val="18"/>
          <w:lang w:val="es-CO"/>
        </w:rPr>
        <w:t xml:space="preserve">Por la cual se deroga la Resolución número </w:t>
      </w:r>
      <w:hyperlink r:id="rId7" w:anchor="1" w:tgtFrame="_blank" w:history="1">
        <w:r w:rsidRPr="005F14A9">
          <w:rPr>
            <w:rStyle w:val="Hipervnculo"/>
            <w:rFonts w:ascii="Work Sans" w:hAnsi="Work Sans"/>
            <w:i/>
            <w:iCs/>
            <w:color w:val="auto"/>
            <w:sz w:val="18"/>
            <w:szCs w:val="18"/>
            <w:u w:val="none"/>
            <w:lang w:val="es-CO"/>
          </w:rPr>
          <w:t>41039</w:t>
        </w:r>
      </w:hyperlink>
      <w:r w:rsidRPr="005F14A9">
        <w:rPr>
          <w:rFonts w:ascii="Work Sans" w:hAnsi="Work Sans"/>
          <w:i/>
          <w:iCs/>
          <w:sz w:val="18"/>
          <w:szCs w:val="18"/>
          <w:lang w:val="es-CO"/>
        </w:rPr>
        <w:t xml:space="preserve"> de 2016 y el artículo </w:t>
      </w:r>
      <w:hyperlink r:id="rId8" w:anchor="3" w:tgtFrame="_blank" w:history="1">
        <w:r w:rsidRPr="005F14A9">
          <w:rPr>
            <w:rStyle w:val="Hipervnculo"/>
            <w:rFonts w:ascii="Work Sans" w:hAnsi="Work Sans"/>
            <w:i/>
            <w:iCs/>
            <w:color w:val="auto"/>
            <w:sz w:val="18"/>
            <w:szCs w:val="18"/>
            <w:u w:val="none"/>
            <w:lang w:val="es-CO"/>
          </w:rPr>
          <w:t>3o</w:t>
        </w:r>
      </w:hyperlink>
      <w:r w:rsidRPr="005F14A9">
        <w:rPr>
          <w:rFonts w:ascii="Work Sans" w:hAnsi="Work Sans"/>
          <w:i/>
          <w:iCs/>
          <w:sz w:val="18"/>
          <w:szCs w:val="18"/>
          <w:lang w:val="es-CO"/>
        </w:rPr>
        <w:t xml:space="preserve"> de la Resolución número 40094 de 2021, y se establecen nuevos parámetros para la asignación de recursos del Fondo de Apoyo Financiero para la Energización de las Zonas Rurales Interconectadas (FAER).</w:t>
      </w:r>
      <w:r w:rsidRPr="005F14A9">
        <w:rPr>
          <w:rFonts w:ascii="Work Sans" w:hAnsi="Work Sans"/>
          <w:i/>
          <w:iCs/>
          <w:sz w:val="18"/>
          <w:szCs w:val="18"/>
          <w:lang w:val="es-CO"/>
        </w:rPr>
        <w:t>”</w:t>
      </w:r>
      <w:r>
        <w:rPr>
          <w:rFonts w:ascii="Work Sans" w:hAnsi="Work Sans"/>
          <w:i/>
          <w:iCs/>
          <w:sz w:val="18"/>
          <w:szCs w:val="18"/>
          <w:lang w:val="es-CO"/>
        </w:rPr>
        <w:t xml:space="preserve"> </w:t>
      </w:r>
      <w:r w:rsidRPr="005F14A9">
        <w:rPr>
          <w:rFonts w:ascii="Work Sans" w:hAnsi="Work Sans"/>
          <w:sz w:val="18"/>
          <w:szCs w:val="18"/>
          <w:lang w:val="es-CO"/>
        </w:rPr>
        <w:t>Disponible en:</w:t>
      </w:r>
      <w:r>
        <w:rPr>
          <w:rFonts w:ascii="Work Sans" w:hAnsi="Work Sans"/>
          <w:sz w:val="18"/>
          <w:szCs w:val="18"/>
          <w:lang w:val="es-CO"/>
        </w:rPr>
        <w:t xml:space="preserve"> </w:t>
      </w:r>
      <w:hyperlink r:id="rId9" w:history="1">
        <w:r w:rsidRPr="00DA6059">
          <w:rPr>
            <w:rStyle w:val="Hipervnculo"/>
            <w:rFonts w:ascii="Work Sans" w:hAnsi="Work Sans"/>
            <w:sz w:val="18"/>
            <w:szCs w:val="18"/>
            <w:lang w:val="es-CO"/>
          </w:rPr>
          <w:t>https://gestornormativo.creg.gov.co/gestor/entorno/docs/resolucion_minminas_40379_2023.htm</w:t>
        </w:r>
      </w:hyperlink>
      <w:r>
        <w:rPr>
          <w:rFonts w:ascii="Work Sans" w:hAnsi="Work Sans"/>
          <w:sz w:val="18"/>
          <w:szCs w:val="18"/>
          <w:lang w:val="es-CO"/>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Content>
      <w:p w14:paraId="0251DE41" w14:textId="7BD393A3" w:rsidR="00FD392C" w:rsidRDefault="00FD392C" w:rsidP="005225C6">
        <w:pPr>
          <w:pStyle w:val="Encabezado"/>
          <w:jc w:val="right"/>
        </w:pPr>
        <w:r w:rsidRPr="005617AA">
          <w:rPr>
            <w:noProof/>
          </w:rPr>
          <w:drawing>
            <wp:anchor distT="0" distB="0" distL="114300" distR="114300" simplePos="0" relativeHeight="251662336"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184631"/>
    <w:multiLevelType w:val="multilevel"/>
    <w:tmpl w:val="C4E66842"/>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2F738E5"/>
    <w:multiLevelType w:val="multilevel"/>
    <w:tmpl w:val="AAD68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8E54C2"/>
    <w:multiLevelType w:val="hybridMultilevel"/>
    <w:tmpl w:val="AEB28D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E9900F0"/>
    <w:multiLevelType w:val="hybridMultilevel"/>
    <w:tmpl w:val="79D8E75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497684C"/>
    <w:multiLevelType w:val="multilevel"/>
    <w:tmpl w:val="E0780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C4E6B90"/>
    <w:multiLevelType w:val="multilevel"/>
    <w:tmpl w:val="7F1A7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0A034B2"/>
    <w:multiLevelType w:val="multilevel"/>
    <w:tmpl w:val="81506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21746E0"/>
    <w:multiLevelType w:val="hybridMultilevel"/>
    <w:tmpl w:val="94AC21B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35F83B95"/>
    <w:multiLevelType w:val="multilevel"/>
    <w:tmpl w:val="08645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7E4A24"/>
    <w:multiLevelType w:val="multilevel"/>
    <w:tmpl w:val="17CAE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9F205F5"/>
    <w:multiLevelType w:val="hybridMultilevel"/>
    <w:tmpl w:val="7A766C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4AE6149E"/>
    <w:multiLevelType w:val="hybridMultilevel"/>
    <w:tmpl w:val="6F9E707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4C87180F"/>
    <w:multiLevelType w:val="multilevel"/>
    <w:tmpl w:val="556ED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EE14AB8"/>
    <w:multiLevelType w:val="multilevel"/>
    <w:tmpl w:val="D4E4A582"/>
    <w:lvl w:ilvl="0">
      <w:start w:val="1"/>
      <w:numFmt w:val="decimal"/>
      <w:lvlText w:val="%1."/>
      <w:lvlJc w:val="left"/>
      <w:pPr>
        <w:tabs>
          <w:tab w:val="num" w:pos="720"/>
        </w:tabs>
        <w:ind w:left="720" w:hanging="360"/>
      </w:pPr>
      <w:rPr>
        <w:rFont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EFD0831"/>
    <w:multiLevelType w:val="multilevel"/>
    <w:tmpl w:val="C116F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0C90310"/>
    <w:multiLevelType w:val="hybridMultilevel"/>
    <w:tmpl w:val="9AC61198"/>
    <w:lvl w:ilvl="0" w:tplc="514C4B36">
      <w:start w:val="1"/>
      <w:numFmt w:val="decimal"/>
      <w:lvlText w:val="%1."/>
      <w:lvlJc w:val="left"/>
      <w:pPr>
        <w:ind w:left="720" w:hanging="360"/>
      </w:pPr>
      <w:rPr>
        <w:b/>
        <w:bCs/>
      </w:rPr>
    </w:lvl>
    <w:lvl w:ilvl="1" w:tplc="96BAC616">
      <w:numFmt w:val="decimal"/>
      <w:lvlText w:val=""/>
      <w:lvlJc w:val="left"/>
    </w:lvl>
    <w:lvl w:ilvl="2" w:tplc="C66CB8D4">
      <w:numFmt w:val="decimal"/>
      <w:lvlText w:val=""/>
      <w:lvlJc w:val="left"/>
    </w:lvl>
    <w:lvl w:ilvl="3" w:tplc="2FAC2C66">
      <w:numFmt w:val="decimal"/>
      <w:lvlText w:val=""/>
      <w:lvlJc w:val="left"/>
    </w:lvl>
    <w:lvl w:ilvl="4" w:tplc="C5CE1628">
      <w:numFmt w:val="decimal"/>
      <w:lvlText w:val=""/>
      <w:lvlJc w:val="left"/>
    </w:lvl>
    <w:lvl w:ilvl="5" w:tplc="722A23E4">
      <w:numFmt w:val="decimal"/>
      <w:lvlText w:val=""/>
      <w:lvlJc w:val="left"/>
    </w:lvl>
    <w:lvl w:ilvl="6" w:tplc="5EAC8020">
      <w:numFmt w:val="decimal"/>
      <w:lvlText w:val=""/>
      <w:lvlJc w:val="left"/>
    </w:lvl>
    <w:lvl w:ilvl="7" w:tplc="BAF4B75E">
      <w:numFmt w:val="decimal"/>
      <w:lvlText w:val=""/>
      <w:lvlJc w:val="left"/>
    </w:lvl>
    <w:lvl w:ilvl="8" w:tplc="35FC7D1E">
      <w:numFmt w:val="decimal"/>
      <w:lvlText w:val=""/>
      <w:lvlJc w:val="left"/>
    </w:lvl>
  </w:abstractNum>
  <w:abstractNum w:abstractNumId="16" w15:restartNumberingAfterBreak="0">
    <w:nsid w:val="54307154"/>
    <w:multiLevelType w:val="multilevel"/>
    <w:tmpl w:val="1F52E1F6"/>
    <w:lvl w:ilvl="0">
      <w:start w:val="1"/>
      <w:numFmt w:val="decimal"/>
      <w:lvlText w:val="%1."/>
      <w:lvlJc w:val="left"/>
      <w:pPr>
        <w:ind w:left="360" w:hanging="360"/>
      </w:pPr>
      <w:rPr>
        <w:rFonts w:hint="default"/>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sz w:val="20"/>
      </w:rPr>
    </w:lvl>
    <w:lvl w:ilvl="3">
      <w:start w:val="1"/>
      <w:numFmt w:val="decimal"/>
      <w:lvlText w:val="(%4)"/>
      <w:lvlJc w:val="left"/>
      <w:pPr>
        <w:ind w:left="1440" w:hanging="360"/>
      </w:pPr>
      <w:rPr>
        <w:rFonts w:hint="default"/>
        <w:sz w:val="20"/>
      </w:rPr>
    </w:lvl>
    <w:lvl w:ilvl="4">
      <w:start w:val="1"/>
      <w:numFmt w:val="lowerLetter"/>
      <w:lvlText w:val="(%5)"/>
      <w:lvlJc w:val="left"/>
      <w:pPr>
        <w:ind w:left="1800" w:hanging="360"/>
      </w:pPr>
      <w:rPr>
        <w:rFonts w:hint="default"/>
        <w:sz w:val="20"/>
      </w:rPr>
    </w:lvl>
    <w:lvl w:ilvl="5">
      <w:start w:val="1"/>
      <w:numFmt w:val="lowerRoman"/>
      <w:lvlText w:val="(%6)"/>
      <w:lvlJc w:val="left"/>
      <w:pPr>
        <w:ind w:left="2160" w:hanging="360"/>
      </w:pPr>
      <w:rPr>
        <w:rFonts w:hint="default"/>
        <w:sz w:val="20"/>
      </w:rPr>
    </w:lvl>
    <w:lvl w:ilvl="6">
      <w:start w:val="1"/>
      <w:numFmt w:val="decimal"/>
      <w:lvlText w:val="%7."/>
      <w:lvlJc w:val="left"/>
      <w:pPr>
        <w:ind w:left="2520" w:hanging="360"/>
      </w:pPr>
      <w:rPr>
        <w:rFonts w:hint="default"/>
        <w:sz w:val="20"/>
      </w:rPr>
    </w:lvl>
    <w:lvl w:ilvl="7">
      <w:start w:val="1"/>
      <w:numFmt w:val="lowerLetter"/>
      <w:lvlText w:val="%8."/>
      <w:lvlJc w:val="left"/>
      <w:pPr>
        <w:ind w:left="2880" w:hanging="360"/>
      </w:pPr>
      <w:rPr>
        <w:rFonts w:hint="default"/>
        <w:sz w:val="20"/>
      </w:rPr>
    </w:lvl>
    <w:lvl w:ilvl="8">
      <w:start w:val="1"/>
      <w:numFmt w:val="lowerRoman"/>
      <w:lvlText w:val="%9."/>
      <w:lvlJc w:val="left"/>
      <w:pPr>
        <w:ind w:left="3240" w:hanging="360"/>
      </w:pPr>
      <w:rPr>
        <w:rFonts w:hint="default"/>
        <w:sz w:val="20"/>
      </w:rPr>
    </w:lvl>
  </w:abstractNum>
  <w:abstractNum w:abstractNumId="17" w15:restartNumberingAfterBreak="0">
    <w:nsid w:val="55E909E6"/>
    <w:multiLevelType w:val="multilevel"/>
    <w:tmpl w:val="D52A2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97931ED"/>
    <w:multiLevelType w:val="hybridMultilevel"/>
    <w:tmpl w:val="5EF2F686"/>
    <w:lvl w:ilvl="0" w:tplc="39FCD6F0">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6E673D36"/>
    <w:multiLevelType w:val="hybridMultilevel"/>
    <w:tmpl w:val="E924AAE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721E2F90"/>
    <w:multiLevelType w:val="multilevel"/>
    <w:tmpl w:val="A958F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D782B1D"/>
    <w:multiLevelType w:val="hybridMultilevel"/>
    <w:tmpl w:val="85F469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525876535">
    <w:abstractNumId w:val="3"/>
  </w:num>
  <w:num w:numId="2" w16cid:durableId="448863821">
    <w:abstractNumId w:val="20"/>
  </w:num>
  <w:num w:numId="3" w16cid:durableId="264845316">
    <w:abstractNumId w:val="8"/>
  </w:num>
  <w:num w:numId="4" w16cid:durableId="499663792">
    <w:abstractNumId w:val="5"/>
  </w:num>
  <w:num w:numId="5" w16cid:durableId="1723288249">
    <w:abstractNumId w:val="19"/>
  </w:num>
  <w:num w:numId="6" w16cid:durableId="727992162">
    <w:abstractNumId w:val="11"/>
  </w:num>
  <w:num w:numId="7" w16cid:durableId="957680298">
    <w:abstractNumId w:val="10"/>
  </w:num>
  <w:num w:numId="8" w16cid:durableId="953556398">
    <w:abstractNumId w:val="1"/>
  </w:num>
  <w:num w:numId="9" w16cid:durableId="497580442">
    <w:abstractNumId w:val="17"/>
  </w:num>
  <w:num w:numId="10" w16cid:durableId="1038510061">
    <w:abstractNumId w:val="14"/>
  </w:num>
  <w:num w:numId="11" w16cid:durableId="1472020115">
    <w:abstractNumId w:val="6"/>
  </w:num>
  <w:num w:numId="12" w16cid:durableId="557519641">
    <w:abstractNumId w:val="13"/>
  </w:num>
  <w:num w:numId="13" w16cid:durableId="62145828">
    <w:abstractNumId w:val="16"/>
  </w:num>
  <w:num w:numId="14" w16cid:durableId="2022126776">
    <w:abstractNumId w:val="9"/>
  </w:num>
  <w:num w:numId="15" w16cid:durableId="69543478">
    <w:abstractNumId w:val="7"/>
  </w:num>
  <w:num w:numId="16" w16cid:durableId="1112436619">
    <w:abstractNumId w:val="18"/>
  </w:num>
  <w:num w:numId="17" w16cid:durableId="1765612103">
    <w:abstractNumId w:val="15"/>
    <w:lvlOverride w:ilvl="0">
      <w:startOverride w:val="1"/>
    </w:lvlOverride>
  </w:num>
  <w:num w:numId="18" w16cid:durableId="285355720">
    <w:abstractNumId w:val="0"/>
  </w:num>
  <w:num w:numId="19" w16cid:durableId="1941839348">
    <w:abstractNumId w:val="4"/>
  </w:num>
  <w:num w:numId="20" w16cid:durableId="1597790563">
    <w:abstractNumId w:val="12"/>
  </w:num>
  <w:num w:numId="21" w16cid:durableId="1073117572">
    <w:abstractNumId w:val="21"/>
  </w:num>
  <w:num w:numId="22" w16cid:durableId="3352357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12CF1"/>
    <w:rsid w:val="00015F90"/>
    <w:rsid w:val="00020D07"/>
    <w:rsid w:val="00023C61"/>
    <w:rsid w:val="00027169"/>
    <w:rsid w:val="000353FB"/>
    <w:rsid w:val="000418C8"/>
    <w:rsid w:val="000C28D5"/>
    <w:rsid w:val="00105ED7"/>
    <w:rsid w:val="00157659"/>
    <w:rsid w:val="001818F1"/>
    <w:rsid w:val="00212346"/>
    <w:rsid w:val="002478C2"/>
    <w:rsid w:val="00262ACE"/>
    <w:rsid w:val="002A2C00"/>
    <w:rsid w:val="002C275A"/>
    <w:rsid w:val="003121A9"/>
    <w:rsid w:val="00320B91"/>
    <w:rsid w:val="0034493B"/>
    <w:rsid w:val="003B2B73"/>
    <w:rsid w:val="00484A5A"/>
    <w:rsid w:val="00496E70"/>
    <w:rsid w:val="005225C6"/>
    <w:rsid w:val="005617AA"/>
    <w:rsid w:val="005646C4"/>
    <w:rsid w:val="0058380C"/>
    <w:rsid w:val="005969C2"/>
    <w:rsid w:val="00597C52"/>
    <w:rsid w:val="005F14A9"/>
    <w:rsid w:val="00640E5A"/>
    <w:rsid w:val="00703E5F"/>
    <w:rsid w:val="00771FB6"/>
    <w:rsid w:val="00775B46"/>
    <w:rsid w:val="007A5A72"/>
    <w:rsid w:val="007D3301"/>
    <w:rsid w:val="00825E65"/>
    <w:rsid w:val="00830730"/>
    <w:rsid w:val="008541AE"/>
    <w:rsid w:val="00892C0E"/>
    <w:rsid w:val="008E4ABF"/>
    <w:rsid w:val="009359F1"/>
    <w:rsid w:val="00981241"/>
    <w:rsid w:val="009E5228"/>
    <w:rsid w:val="00A3590E"/>
    <w:rsid w:val="00A86526"/>
    <w:rsid w:val="00AD43C1"/>
    <w:rsid w:val="00B4250F"/>
    <w:rsid w:val="00B51607"/>
    <w:rsid w:val="00B53787"/>
    <w:rsid w:val="00B65044"/>
    <w:rsid w:val="00B74DE2"/>
    <w:rsid w:val="00B96A8F"/>
    <w:rsid w:val="00BF6729"/>
    <w:rsid w:val="00C0455B"/>
    <w:rsid w:val="00CA6078"/>
    <w:rsid w:val="00CF45F8"/>
    <w:rsid w:val="00D71097"/>
    <w:rsid w:val="00DC7B37"/>
    <w:rsid w:val="00DE1913"/>
    <w:rsid w:val="00E113E2"/>
    <w:rsid w:val="00E24C9D"/>
    <w:rsid w:val="00E37AC0"/>
    <w:rsid w:val="00E406F8"/>
    <w:rsid w:val="00E823F2"/>
    <w:rsid w:val="00EB3862"/>
    <w:rsid w:val="00F80A1F"/>
    <w:rsid w:val="00F832CF"/>
    <w:rsid w:val="00F94C11"/>
    <w:rsid w:val="00FA439A"/>
    <w:rsid w:val="00FD392C"/>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1FB6"/>
    <w:pPr>
      <w:spacing w:after="200" w:line="276" w:lineRule="auto"/>
    </w:p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styleId="Prrafodelista">
    <w:name w:val="List Paragraph"/>
    <w:aliases w:val="Ha,titulo 3,HOJA,Bolita,Párrafo de lista4,BOLADEF,Párrafo de lista3,Párrafo de lista21,BOLA,Nivel 1 OS,Normal_viñetas_ICONTEC,Colorful List Accent 1,Colorful List - Accent 11,Bullet List,FooterText,numbered,Foot,列出段落,Paragraphe de liste"/>
    <w:basedOn w:val="Normal"/>
    <w:link w:val="PrrafodelistaCar"/>
    <w:qFormat/>
    <w:rsid w:val="005969C2"/>
    <w:pPr>
      <w:suppressAutoHyphens w:val="0"/>
      <w:spacing w:after="160" w:line="259" w:lineRule="auto"/>
      <w:ind w:left="720"/>
      <w:contextualSpacing/>
    </w:pPr>
    <w:rPr>
      <w:kern w:val="2"/>
      <w14:ligatures w14:val="standardContextual"/>
    </w:rPr>
  </w:style>
  <w:style w:type="character" w:customStyle="1" w:styleId="PrrafodelistaCar">
    <w:name w:val="Párrafo de lista Car"/>
    <w:aliases w:val="Ha Car,titulo 3 Car,HOJA Car,Bolita Car,Párrafo de lista4 Car,BOLADEF Car,Párrafo de lista3 Car,Párrafo de lista21 Car,BOLA Car,Nivel 1 OS Car,Normal_viñetas_ICONTEC Car,Colorful List Accent 1 Car,Colorful List - Accent 11 Car"/>
    <w:link w:val="Prrafodelista"/>
    <w:uiPriority w:val="34"/>
    <w:qFormat/>
    <w:locked/>
    <w:rsid w:val="005969C2"/>
    <w:rPr>
      <w:kern w:val="2"/>
      <w14:ligatures w14:val="standardContextual"/>
    </w:rPr>
  </w:style>
  <w:style w:type="paragraph" w:styleId="Sinespaciado">
    <w:name w:val="No Spacing"/>
    <w:uiPriority w:val="1"/>
    <w:qFormat/>
    <w:rsid w:val="005969C2"/>
  </w:style>
  <w:style w:type="character" w:styleId="Hipervnculo">
    <w:name w:val="Hyperlink"/>
    <w:rsid w:val="002A2C00"/>
    <w:rPr>
      <w:color w:val="0000FF"/>
      <w:u w:val="single"/>
    </w:rPr>
  </w:style>
  <w:style w:type="paragraph" w:styleId="Textonotapie">
    <w:name w:val="footnote text"/>
    <w:basedOn w:val="Normal"/>
    <w:link w:val="TextonotapieCar"/>
    <w:uiPriority w:val="99"/>
    <w:unhideWhenUsed/>
    <w:rsid w:val="002A2C00"/>
    <w:pPr>
      <w:suppressAutoHyphens w:val="0"/>
      <w:autoSpaceDE w:val="0"/>
      <w:autoSpaceDN w:val="0"/>
      <w:spacing w:after="0" w:line="240" w:lineRule="auto"/>
    </w:pPr>
    <w:rPr>
      <w:rFonts w:ascii="Times New Roman" w:eastAsia="Times New Roman" w:hAnsi="Times New Roman" w:cs="Times New Roman"/>
      <w:sz w:val="20"/>
      <w:szCs w:val="20"/>
      <w:lang w:val="es-ES_tradnl" w:eastAsia="es-MX"/>
    </w:rPr>
  </w:style>
  <w:style w:type="character" w:customStyle="1" w:styleId="TextonotapieCar">
    <w:name w:val="Texto nota pie Car"/>
    <w:basedOn w:val="Fuentedeprrafopredeter"/>
    <w:link w:val="Textonotapie"/>
    <w:uiPriority w:val="99"/>
    <w:rsid w:val="002A2C00"/>
    <w:rPr>
      <w:rFonts w:ascii="Times New Roman" w:eastAsia="Times New Roman" w:hAnsi="Times New Roman" w:cs="Times New Roman"/>
      <w:sz w:val="20"/>
      <w:szCs w:val="20"/>
      <w:lang w:val="es-ES_tradnl" w:eastAsia="es-MX"/>
    </w:rPr>
  </w:style>
  <w:style w:type="character" w:styleId="Refdenotaalpie">
    <w:name w:val="footnote reference"/>
    <w:basedOn w:val="Fuentedeprrafopredeter"/>
    <w:uiPriority w:val="99"/>
    <w:semiHidden/>
    <w:unhideWhenUsed/>
    <w:rsid w:val="002A2C00"/>
    <w:rPr>
      <w:vertAlign w:val="superscript"/>
    </w:rPr>
  </w:style>
  <w:style w:type="paragraph" w:customStyle="1" w:styleId="paragraph">
    <w:name w:val="paragraph"/>
    <w:basedOn w:val="Normal"/>
    <w:rsid w:val="00771FB6"/>
    <w:pPr>
      <w:suppressAutoHyphens w:val="0"/>
      <w:spacing w:before="100" w:beforeAutospacing="1" w:after="100" w:afterAutospacing="1" w:line="240" w:lineRule="auto"/>
    </w:pPr>
    <w:rPr>
      <w:rFonts w:ascii="Times New Roman" w:eastAsia="Times New Roman" w:hAnsi="Times New Roman" w:cs="Times New Roman"/>
      <w:sz w:val="24"/>
      <w:szCs w:val="24"/>
      <w:lang w:eastAsia="es-MX"/>
    </w:rPr>
  </w:style>
  <w:style w:type="table" w:styleId="Tablaconcuadrcula">
    <w:name w:val="Table Grid"/>
    <w:basedOn w:val="Tablanormal"/>
    <w:uiPriority w:val="39"/>
    <w:rsid w:val="00771FB6"/>
    <w:pPr>
      <w:suppressAutoHyphens w:val="0"/>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cinsinresolver">
    <w:name w:val="Unresolved Mention"/>
    <w:basedOn w:val="Fuentedeprrafopredeter"/>
    <w:uiPriority w:val="99"/>
    <w:semiHidden/>
    <w:unhideWhenUsed/>
    <w:rsid w:val="00157659"/>
    <w:rPr>
      <w:color w:val="605E5C"/>
      <w:shd w:val="clear" w:color="auto" w:fill="E1DFDD"/>
    </w:rPr>
  </w:style>
  <w:style w:type="paragraph" w:styleId="NormalWeb">
    <w:name w:val="Normal (Web)"/>
    <w:basedOn w:val="Normal"/>
    <w:uiPriority w:val="99"/>
    <w:semiHidden/>
    <w:unhideWhenUsed/>
    <w:rsid w:val="00212346"/>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8" Type="http://schemas.openxmlformats.org/officeDocument/2006/relationships/hyperlink" Target="https://gestornormativo.creg.gov.co/gestor/entorno/docs/resolucion_minminas_40094_2021.htm" TargetMode="External"/><Relationship Id="rId3" Type="http://schemas.openxmlformats.org/officeDocument/2006/relationships/hyperlink" Target="https://www.minenergia.gov.co/es/comunidades-energeticas/" TargetMode="External"/><Relationship Id="rId7" Type="http://schemas.openxmlformats.org/officeDocument/2006/relationships/hyperlink" Target="https://gestornormativo.creg.gov.co/gestor/entorno/docs/resolucion_minminas_41039_2016.htm" TargetMode="External"/><Relationship Id="rId2" Type="http://schemas.openxmlformats.org/officeDocument/2006/relationships/hyperlink" Target="https://www.funcionpublica.gov.co/eva/gestornormativo/norma.php?i=227230" TargetMode="External"/><Relationship Id="rId1" Type="http://schemas.openxmlformats.org/officeDocument/2006/relationships/hyperlink" Target="https://www.funcionpublica.gov.co/eva/gestornormativo/norma.php?i=77887" TargetMode="External"/><Relationship Id="rId6" Type="http://schemas.openxmlformats.org/officeDocument/2006/relationships/hyperlink" Target="https://gestornormativo.creg.gov.co/gestor/entorno/docs/resolucion_minminas_40378_2023.htm" TargetMode="External"/><Relationship Id="rId5" Type="http://schemas.openxmlformats.org/officeDocument/2006/relationships/hyperlink" Target="https://gestornormativo.creg.gov.co/gestor/entorno/docs/resolucion_minminas_41208_2016.htm" TargetMode="External"/><Relationship Id="rId4" Type="http://schemas.openxmlformats.org/officeDocument/2006/relationships/hyperlink" Target="https://www.funcionpublica.gov.co/eva/gestornormativo/norma.php?i=66321" TargetMode="External"/><Relationship Id="rId9" Type="http://schemas.openxmlformats.org/officeDocument/2006/relationships/hyperlink" Target="https://gestornormativo.creg.gov.co/gestor/entorno/docs/resolucion_minminas_40379_202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C31117-7ED4-4477-90B5-1203F9E1E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4</Pages>
  <Words>928</Words>
  <Characters>5110</Characters>
  <Application>Microsoft Office Word</Application>
  <DocSecurity>0</DocSecurity>
  <Lines>42</Lines>
  <Paragraphs>12</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6026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JUAN CARLOS AGREDA BOTINA</cp:lastModifiedBy>
  <cp:revision>12</cp:revision>
  <dcterms:created xsi:type="dcterms:W3CDTF">2026-05-11T22:28:00Z</dcterms:created>
  <dcterms:modified xsi:type="dcterms:W3CDTF">2026-05-12T22:13:00Z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